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1B" w:rsidRDefault="00CF4E1B" w:rsidP="00D024BD">
      <w:pPr>
        <w:spacing w:line="400" w:lineRule="exact"/>
        <w:jc w:val="center"/>
        <w:rPr>
          <w:rFonts w:ascii="標楷體" w:eastAsia="標楷體" w:hAnsi="標楷體"/>
          <w:color w:val="000000"/>
          <w:sz w:val="32"/>
          <w:szCs w:val="32"/>
          <w:shd w:val="clear" w:color="auto" w:fill="FFFFFF"/>
        </w:rPr>
      </w:pPr>
      <w:bookmarkStart w:id="0" w:name="_GoBack"/>
      <w:bookmarkEnd w:id="0"/>
      <w:r w:rsidRPr="00CF4E1B">
        <w:rPr>
          <w:rFonts w:ascii="標楷體" w:eastAsia="標楷體" w:hAnsi="標楷體" w:hint="eastAsia"/>
          <w:color w:val="000000"/>
          <w:sz w:val="32"/>
          <w:szCs w:val="32"/>
          <w:shd w:val="clear" w:color="auto" w:fill="FFFFFF"/>
        </w:rPr>
        <w:t>苗栗縣政府暨所屬機關學校內部控制制度設計原則</w:t>
      </w:r>
    </w:p>
    <w:p w:rsidR="00116860" w:rsidRDefault="00116860" w:rsidP="00116860">
      <w:pPr>
        <w:spacing w:line="400" w:lineRule="exact"/>
        <w:jc w:val="both"/>
        <w:rPr>
          <w:rFonts w:ascii="標楷體" w:eastAsia="標楷體" w:hAnsi="標楷體"/>
          <w:color w:val="000000"/>
          <w:sz w:val="32"/>
          <w:szCs w:val="32"/>
          <w:shd w:val="clear" w:color="auto" w:fill="FFFFFF"/>
        </w:rPr>
      </w:pPr>
    </w:p>
    <w:p w:rsidR="00116860" w:rsidRPr="00116860" w:rsidRDefault="00116860" w:rsidP="00116860">
      <w:pPr>
        <w:spacing w:line="400" w:lineRule="exact"/>
        <w:jc w:val="right"/>
        <w:rPr>
          <w:rFonts w:ascii="標楷體" w:eastAsia="標楷體" w:hAnsi="標楷體"/>
          <w:color w:val="000000"/>
          <w:sz w:val="32"/>
          <w:szCs w:val="32"/>
          <w:shd w:val="clear" w:color="auto" w:fill="FFFFFF"/>
        </w:rPr>
      </w:pPr>
      <w:r w:rsidRPr="00116860">
        <w:rPr>
          <w:rFonts w:hint="eastAsia"/>
          <w:sz w:val="18"/>
          <w:szCs w:val="18"/>
        </w:rPr>
        <w:t>1</w:t>
      </w:r>
      <w:r w:rsidRPr="00116860">
        <w:rPr>
          <w:sz w:val="18"/>
          <w:szCs w:val="18"/>
        </w:rPr>
        <w:t>07</w:t>
      </w:r>
      <w:r w:rsidRPr="00116860">
        <w:rPr>
          <w:rFonts w:hint="eastAsia"/>
          <w:sz w:val="18"/>
          <w:szCs w:val="18"/>
        </w:rPr>
        <w:t>年</w:t>
      </w:r>
      <w:r w:rsidRPr="00116860">
        <w:rPr>
          <w:rFonts w:hint="eastAsia"/>
          <w:sz w:val="18"/>
          <w:szCs w:val="18"/>
        </w:rPr>
        <w:t>4</w:t>
      </w:r>
      <w:r w:rsidRPr="00116860">
        <w:rPr>
          <w:rFonts w:hint="eastAsia"/>
          <w:sz w:val="18"/>
          <w:szCs w:val="18"/>
        </w:rPr>
        <w:t>月</w:t>
      </w:r>
      <w:r w:rsidRPr="00116860">
        <w:rPr>
          <w:rFonts w:hint="eastAsia"/>
          <w:sz w:val="18"/>
          <w:szCs w:val="18"/>
        </w:rPr>
        <w:t>1</w:t>
      </w:r>
      <w:r w:rsidRPr="00116860">
        <w:rPr>
          <w:sz w:val="18"/>
          <w:szCs w:val="18"/>
        </w:rPr>
        <w:t>7</w:t>
      </w:r>
      <w:r w:rsidRPr="00116860">
        <w:rPr>
          <w:rFonts w:hint="eastAsia"/>
          <w:sz w:val="18"/>
          <w:szCs w:val="18"/>
        </w:rPr>
        <w:t>日訂定</w:t>
      </w:r>
    </w:p>
    <w:p w:rsidR="00CF4E1B" w:rsidRPr="00CF4E1B" w:rsidRDefault="00261EA3" w:rsidP="00116860">
      <w:pPr>
        <w:pStyle w:val="a7"/>
        <w:numPr>
          <w:ilvl w:val="0"/>
          <w:numId w:val="1"/>
        </w:numPr>
        <w:tabs>
          <w:tab w:val="left" w:pos="567"/>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為利苗栗縣政府暨所屬各機關學校(以下簡稱各機關)設計內部控制制度，</w:t>
      </w:r>
      <w:r w:rsidRPr="00261EA3">
        <w:rPr>
          <w:rFonts w:ascii="標楷體" w:eastAsia="標楷體" w:hAnsi="標楷體" w:cs="細明體" w:hint="eastAsia"/>
          <w:color w:val="000000"/>
          <w:kern w:val="0"/>
          <w:sz w:val="28"/>
          <w:szCs w:val="28"/>
          <w:shd w:val="clear" w:color="auto" w:fill="FFFFFF"/>
        </w:rPr>
        <w:t>特依行政院「政府內部控制制度設計原則」相關規定訂定本原則。</w:t>
      </w:r>
    </w:p>
    <w:p w:rsidR="00CF4E1B" w:rsidRPr="00CF4E1B" w:rsidRDefault="00CF4E1B" w:rsidP="00116860">
      <w:pPr>
        <w:pStyle w:val="a7"/>
        <w:numPr>
          <w:ilvl w:val="0"/>
          <w:numId w:val="1"/>
        </w:numPr>
        <w:tabs>
          <w:tab w:val="left" w:pos="567"/>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各</w:t>
      </w:r>
      <w:proofErr w:type="gramStart"/>
      <w:r w:rsidRPr="00CF4E1B">
        <w:rPr>
          <w:rFonts w:ascii="標楷體" w:eastAsia="標楷體" w:hAnsi="標楷體" w:hint="eastAsia"/>
          <w:color w:val="000000"/>
          <w:sz w:val="28"/>
          <w:szCs w:val="28"/>
          <w:shd w:val="clear" w:color="auto" w:fill="FFFFFF"/>
        </w:rPr>
        <w:t>機關應衡酌</w:t>
      </w:r>
      <w:proofErr w:type="gramEnd"/>
      <w:r w:rsidRPr="00CF4E1B">
        <w:rPr>
          <w:rFonts w:ascii="標楷體" w:eastAsia="標楷體" w:hAnsi="標楷體" w:hint="eastAsia"/>
          <w:color w:val="000000"/>
          <w:sz w:val="28"/>
          <w:szCs w:val="28"/>
          <w:shd w:val="clear" w:color="auto" w:fill="FFFFFF"/>
        </w:rPr>
        <w:t>業務特性、規模大小及人員多寡等因素，依據風險及重要性原則，並考量成本效益，設計合宜有效之內部控制制度，經機關首長核定後，由機關全體人員共同遵循執行。</w:t>
      </w:r>
    </w:p>
    <w:p w:rsidR="0054042E" w:rsidRPr="0054042E" w:rsidRDefault="00CF4E1B" w:rsidP="00116860">
      <w:pPr>
        <w:pStyle w:val="a7"/>
        <w:numPr>
          <w:ilvl w:val="0"/>
          <w:numId w:val="1"/>
        </w:numPr>
        <w:tabs>
          <w:tab w:val="left" w:pos="567"/>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各機關內部控制制度之設計，應針對可能影響內部控制目標</w:t>
      </w:r>
      <w:r>
        <w:rPr>
          <w:rFonts w:ascii="標楷體" w:eastAsia="標楷體" w:hAnsi="標楷體" w:hint="eastAsia"/>
          <w:color w:val="000000"/>
          <w:sz w:val="28"/>
          <w:szCs w:val="28"/>
          <w:shd w:val="clear" w:color="auto" w:fill="FFFFFF"/>
        </w:rPr>
        <w:t>、整體層級目標及作業層級目標</w:t>
      </w:r>
      <w:r w:rsidRPr="00CF4E1B">
        <w:rPr>
          <w:rFonts w:ascii="標楷體" w:eastAsia="標楷體" w:hAnsi="標楷體" w:hint="eastAsia"/>
          <w:color w:val="000000"/>
          <w:sz w:val="28"/>
          <w:szCs w:val="28"/>
          <w:shd w:val="clear" w:color="auto" w:fill="FFFFFF"/>
        </w:rPr>
        <w:t>達成之重大風險加以控管，以強化該制度之有效性。</w:t>
      </w:r>
    </w:p>
    <w:p w:rsidR="0054042E" w:rsidRPr="0054042E" w:rsidRDefault="00CF4E1B" w:rsidP="00116860">
      <w:pPr>
        <w:pStyle w:val="a7"/>
        <w:numPr>
          <w:ilvl w:val="0"/>
          <w:numId w:val="1"/>
        </w:numPr>
        <w:tabs>
          <w:tab w:val="left" w:pos="567"/>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設計內部控制制度之步驟依序為：確認目標、風險評估、選定</w:t>
      </w:r>
      <w:r w:rsidR="0054042E">
        <w:rPr>
          <w:rFonts w:ascii="標楷體" w:eastAsia="標楷體" w:hAnsi="標楷體" w:hint="eastAsia"/>
          <w:color w:val="000000"/>
          <w:sz w:val="28"/>
          <w:szCs w:val="28"/>
          <w:shd w:val="clear" w:color="auto" w:fill="FFFFFF"/>
        </w:rPr>
        <w:t>作業</w:t>
      </w:r>
      <w:r w:rsidRPr="00CF4E1B">
        <w:rPr>
          <w:rFonts w:ascii="標楷體" w:eastAsia="標楷體" w:hAnsi="標楷體" w:hint="eastAsia"/>
          <w:color w:val="000000"/>
          <w:sz w:val="28"/>
          <w:szCs w:val="28"/>
          <w:shd w:val="clear" w:color="auto" w:fill="FFFFFF"/>
        </w:rPr>
        <w:t>項目、設計</w:t>
      </w:r>
      <w:r w:rsidR="0054042E">
        <w:rPr>
          <w:rFonts w:ascii="標楷體" w:eastAsia="標楷體" w:hAnsi="標楷體" w:hint="eastAsia"/>
          <w:color w:val="000000"/>
          <w:sz w:val="28"/>
          <w:szCs w:val="28"/>
          <w:shd w:val="clear" w:color="auto" w:fill="FFFFFF"/>
        </w:rPr>
        <w:t>作業程序</w:t>
      </w:r>
      <w:r w:rsidRPr="00CF4E1B">
        <w:rPr>
          <w:rFonts w:ascii="標楷體" w:eastAsia="標楷體" w:hAnsi="標楷體" w:hint="eastAsia"/>
          <w:color w:val="000000"/>
          <w:sz w:val="28"/>
          <w:szCs w:val="28"/>
          <w:shd w:val="clear" w:color="auto" w:fill="FFFFFF"/>
        </w:rPr>
        <w:t>及建立</w:t>
      </w:r>
      <w:r w:rsidR="00ED284D">
        <w:rPr>
          <w:rFonts w:ascii="標楷體" w:eastAsia="標楷體" w:hAnsi="標楷體" w:hint="eastAsia"/>
          <w:color w:val="000000"/>
          <w:sz w:val="28"/>
          <w:szCs w:val="28"/>
          <w:shd w:val="clear" w:color="auto" w:fill="FFFFFF"/>
        </w:rPr>
        <w:t>監督機制</w:t>
      </w:r>
      <w:r w:rsidRPr="00CF4E1B">
        <w:rPr>
          <w:rFonts w:ascii="標楷體" w:eastAsia="標楷體" w:hAnsi="標楷體" w:hint="eastAsia"/>
          <w:color w:val="000000"/>
          <w:sz w:val="28"/>
          <w:szCs w:val="28"/>
          <w:shd w:val="clear" w:color="auto" w:fill="FFFFFF"/>
        </w:rPr>
        <w:t>。</w:t>
      </w:r>
    </w:p>
    <w:p w:rsidR="0054042E" w:rsidRPr="0054042E"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確認目標：各機關應由上而下確認整體與作業層級目標，以實現施政效能、提供可靠資訊、遵循法令規定及保障資產安全：</w:t>
      </w:r>
    </w:p>
    <w:p w:rsidR="0054042E" w:rsidRPr="0054042E"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整體層級目標：依機關設立使命、願景、施政目標及中長程個案計畫等，確認整體層級目標。</w:t>
      </w:r>
    </w:p>
    <w:p w:rsidR="0054042E" w:rsidRPr="0054042E"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作業層級目標：配合整體層級目標，為達成內部各單位業務職掌，以作業類別或作業項目為基礎所設定之作業層級目標。</w:t>
      </w:r>
    </w:p>
    <w:p w:rsidR="0054042E" w:rsidRPr="0054042E"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機關關鍵策略目標應納入整體或作業層級目標。</w:t>
      </w:r>
    </w:p>
    <w:p w:rsidR="00056005" w:rsidRPr="00056005"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CF4E1B">
        <w:rPr>
          <w:rFonts w:ascii="標楷體" w:eastAsia="標楷體" w:hAnsi="標楷體" w:hint="eastAsia"/>
          <w:color w:val="000000"/>
          <w:sz w:val="28"/>
          <w:szCs w:val="28"/>
          <w:shd w:val="clear" w:color="auto" w:fill="FFFFFF"/>
        </w:rPr>
        <w:t>風險評估：</w:t>
      </w:r>
    </w:p>
    <w:p w:rsidR="00056005" w:rsidRPr="00056005"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t>各機關可參考「</w:t>
      </w:r>
      <w:r w:rsidR="0054042E" w:rsidRPr="00056005">
        <w:rPr>
          <w:rFonts w:ascii="標楷體" w:eastAsia="標楷體" w:hAnsi="標楷體" w:hint="eastAsia"/>
          <w:sz w:val="28"/>
          <w:szCs w:val="28"/>
        </w:rPr>
        <w:t>苗栗縣政府施政計畫風險衡量標準</w:t>
      </w:r>
      <w:r w:rsidRPr="00056005">
        <w:rPr>
          <w:rFonts w:ascii="標楷體" w:eastAsia="標楷體" w:hAnsi="標楷體" w:hint="eastAsia"/>
          <w:color w:val="000000"/>
          <w:sz w:val="28"/>
          <w:szCs w:val="28"/>
          <w:shd w:val="clear" w:color="auto" w:fill="FFFFFF"/>
        </w:rPr>
        <w:t>」</w:t>
      </w:r>
      <w:r w:rsidR="0054042E" w:rsidRPr="00056005">
        <w:rPr>
          <w:rFonts w:ascii="標楷體" w:eastAsia="標楷體" w:hAnsi="標楷體" w:hint="eastAsia"/>
          <w:color w:val="000000"/>
          <w:sz w:val="28"/>
          <w:szCs w:val="28"/>
          <w:shd w:val="clear" w:color="auto" w:fill="FFFFFF"/>
        </w:rPr>
        <w:t>或國家發展委員會</w:t>
      </w:r>
      <w:r w:rsidR="00056005" w:rsidRPr="00056005">
        <w:rPr>
          <w:rFonts w:ascii="標楷體" w:eastAsia="標楷體" w:hAnsi="標楷體" w:hint="eastAsia"/>
          <w:color w:val="000000"/>
          <w:sz w:val="28"/>
          <w:szCs w:val="28"/>
          <w:shd w:val="clear" w:color="auto" w:fill="FFFFFF"/>
        </w:rPr>
        <w:t>「風險管理及危機處理作業手冊政策建議書」</w:t>
      </w:r>
      <w:r w:rsidRPr="00056005">
        <w:rPr>
          <w:rFonts w:ascii="標楷體" w:eastAsia="標楷體" w:hAnsi="標楷體" w:hint="eastAsia"/>
          <w:color w:val="000000"/>
          <w:sz w:val="28"/>
          <w:szCs w:val="28"/>
          <w:shd w:val="clear" w:color="auto" w:fill="FFFFFF"/>
        </w:rPr>
        <w:t>，分析風險之影響程度、發生之可能性及監督可容忍之風險是否仍維持可容忍之程度，進行風險評量。</w:t>
      </w:r>
    </w:p>
    <w:p w:rsidR="00056005" w:rsidRPr="00056005"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t>各機關進行風險評估時，得參考以往經驗或現行作業缺失，分析風險因素之影響及機率，以決定風險等級。</w:t>
      </w:r>
    </w:p>
    <w:p w:rsidR="00E76899" w:rsidRPr="00E76899"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t>各機關應綜合考量風險評估結果及風險</w:t>
      </w:r>
      <w:r w:rsidR="00056005">
        <w:rPr>
          <w:rFonts w:ascii="標楷體" w:eastAsia="標楷體" w:hAnsi="標楷體" w:hint="eastAsia"/>
          <w:color w:val="000000"/>
          <w:sz w:val="28"/>
          <w:szCs w:val="28"/>
          <w:shd w:val="clear" w:color="auto" w:fill="FFFFFF"/>
        </w:rPr>
        <w:t>政策</w:t>
      </w:r>
      <w:r w:rsidRPr="00056005">
        <w:rPr>
          <w:rFonts w:ascii="標楷體" w:eastAsia="標楷體" w:hAnsi="標楷體" w:hint="eastAsia"/>
          <w:color w:val="000000"/>
          <w:sz w:val="28"/>
          <w:szCs w:val="28"/>
          <w:shd w:val="clear" w:color="auto" w:fill="FFFFFF"/>
        </w:rPr>
        <w:t>，就不可容忍之風險彙整主要風險項目，</w:t>
      </w:r>
      <w:proofErr w:type="gramStart"/>
      <w:r w:rsidRPr="00056005">
        <w:rPr>
          <w:rFonts w:ascii="標楷體" w:eastAsia="標楷體" w:hAnsi="標楷體" w:hint="eastAsia"/>
          <w:color w:val="000000"/>
          <w:sz w:val="28"/>
          <w:szCs w:val="28"/>
          <w:shd w:val="clear" w:color="auto" w:fill="FFFFFF"/>
        </w:rPr>
        <w:t>研</w:t>
      </w:r>
      <w:proofErr w:type="gramEnd"/>
      <w:r w:rsidRPr="00056005">
        <w:rPr>
          <w:rFonts w:ascii="標楷體" w:eastAsia="標楷體" w:hAnsi="標楷體" w:hint="eastAsia"/>
          <w:color w:val="000000"/>
          <w:sz w:val="28"/>
          <w:szCs w:val="28"/>
          <w:shd w:val="clear" w:color="auto" w:fill="FFFFFF"/>
        </w:rPr>
        <w:t>議及採取適當</w:t>
      </w:r>
      <w:r w:rsidR="00E76899">
        <w:rPr>
          <w:rFonts w:ascii="標楷體" w:eastAsia="標楷體" w:hAnsi="標楷體" w:hint="eastAsia"/>
          <w:color w:val="000000"/>
          <w:sz w:val="28"/>
          <w:szCs w:val="28"/>
          <w:shd w:val="clear" w:color="auto" w:fill="FFFFFF"/>
        </w:rPr>
        <w:t>風險回應。</w:t>
      </w:r>
    </w:p>
    <w:p w:rsidR="00E76899" w:rsidRPr="00E76899"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t>各機關應</w:t>
      </w:r>
      <w:proofErr w:type="gramStart"/>
      <w:r w:rsidRPr="00056005">
        <w:rPr>
          <w:rFonts w:ascii="標楷體" w:eastAsia="標楷體" w:hAnsi="標楷體" w:hint="eastAsia"/>
          <w:color w:val="000000"/>
          <w:sz w:val="28"/>
          <w:szCs w:val="28"/>
          <w:shd w:val="clear" w:color="auto" w:fill="FFFFFF"/>
        </w:rPr>
        <w:t>採</w:t>
      </w:r>
      <w:proofErr w:type="gramEnd"/>
      <w:r w:rsidRPr="00056005">
        <w:rPr>
          <w:rFonts w:ascii="標楷體" w:eastAsia="標楷體" w:hAnsi="標楷體" w:hint="eastAsia"/>
          <w:color w:val="000000"/>
          <w:sz w:val="28"/>
          <w:szCs w:val="28"/>
          <w:shd w:val="clear" w:color="auto" w:fill="FFFFFF"/>
        </w:rPr>
        <w:t>滾動方式定期辦理風險評估作業</w:t>
      </w:r>
      <w:r w:rsidR="00E76899">
        <w:rPr>
          <w:rFonts w:ascii="標楷體" w:eastAsia="標楷體" w:hAnsi="標楷體" w:hint="eastAsia"/>
          <w:color w:val="000000"/>
          <w:sz w:val="28"/>
          <w:szCs w:val="28"/>
          <w:shd w:val="clear" w:color="auto" w:fill="FFFFFF"/>
        </w:rPr>
        <w:t>，確認不可容忍之風險是否須修正風險回應機制</w:t>
      </w:r>
      <w:r w:rsidRPr="00056005">
        <w:rPr>
          <w:rFonts w:ascii="標楷體" w:eastAsia="標楷體" w:hAnsi="標楷體" w:hint="eastAsia"/>
          <w:color w:val="000000"/>
          <w:sz w:val="28"/>
          <w:szCs w:val="28"/>
          <w:shd w:val="clear" w:color="auto" w:fill="FFFFFF"/>
        </w:rPr>
        <w:t>。</w:t>
      </w:r>
    </w:p>
    <w:p w:rsidR="00E76899"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lastRenderedPageBreak/>
        <w:t>選定</w:t>
      </w:r>
      <w:r w:rsidR="00015A9C">
        <w:rPr>
          <w:rFonts w:ascii="標楷體" w:eastAsia="標楷體" w:hAnsi="標楷體" w:hint="eastAsia"/>
          <w:color w:val="000000"/>
          <w:sz w:val="28"/>
          <w:szCs w:val="28"/>
          <w:shd w:val="clear" w:color="auto" w:fill="FFFFFF"/>
        </w:rPr>
        <w:t>作業</w:t>
      </w:r>
      <w:r w:rsidRPr="00056005">
        <w:rPr>
          <w:rFonts w:ascii="標楷體" w:eastAsia="標楷體" w:hAnsi="標楷體" w:hint="eastAsia"/>
          <w:color w:val="000000"/>
          <w:sz w:val="28"/>
          <w:szCs w:val="28"/>
          <w:shd w:val="clear" w:color="auto" w:fill="FFFFFF"/>
        </w:rPr>
        <w:t>項目</w:t>
      </w:r>
      <w:r w:rsidR="00E76899">
        <w:rPr>
          <w:rFonts w:ascii="標楷體" w:eastAsia="標楷體" w:hAnsi="標楷體" w:hint="eastAsia"/>
          <w:color w:val="000000"/>
          <w:sz w:val="28"/>
          <w:szCs w:val="28"/>
          <w:shd w:val="clear" w:color="auto" w:fill="FFFFFF"/>
        </w:rPr>
        <w:t>：</w:t>
      </w:r>
      <w:r w:rsidRPr="00A513B0">
        <w:rPr>
          <w:rFonts w:ascii="標楷體" w:eastAsia="標楷體" w:hAnsi="標楷體" w:hint="eastAsia"/>
          <w:color w:val="000000"/>
          <w:sz w:val="28"/>
          <w:szCs w:val="28"/>
          <w:shd w:val="clear" w:color="auto" w:fill="FFFFFF"/>
        </w:rPr>
        <w:t>各機關設計內部控制制度時，應</w:t>
      </w:r>
      <w:r w:rsidR="00E76899" w:rsidRPr="00A513B0">
        <w:rPr>
          <w:rFonts w:ascii="Arial" w:eastAsia="標楷體" w:hAnsi="Arial" w:cs="Arial" w:hint="eastAsia"/>
          <w:sz w:val="28"/>
          <w:szCs w:val="28"/>
        </w:rPr>
        <w:t>考量各業務之性質、重要性及風險性、監察院糾正</w:t>
      </w:r>
      <w:r w:rsidR="00E76899" w:rsidRPr="00A513B0">
        <w:rPr>
          <w:rFonts w:ascii="Arial" w:eastAsia="標楷體" w:hAnsi="Arial" w:cs="Arial"/>
          <w:sz w:val="28"/>
          <w:szCs w:val="28"/>
        </w:rPr>
        <w:t>(</w:t>
      </w:r>
      <w:r w:rsidR="00E76899" w:rsidRPr="00A513B0">
        <w:rPr>
          <w:rFonts w:ascii="Arial" w:eastAsia="標楷體" w:hAnsi="Arial" w:cs="Arial" w:hint="eastAsia"/>
          <w:sz w:val="28"/>
          <w:szCs w:val="28"/>
        </w:rPr>
        <w:t>舉</w:t>
      </w:r>
      <w:r w:rsidR="00E76899" w:rsidRPr="00A513B0">
        <w:rPr>
          <w:rFonts w:ascii="Arial" w:eastAsia="標楷體" w:hAnsi="Arial" w:cs="Arial"/>
          <w:sz w:val="28"/>
          <w:szCs w:val="28"/>
        </w:rPr>
        <w:t>)</w:t>
      </w:r>
      <w:r w:rsidR="00E76899" w:rsidRPr="00A513B0">
        <w:rPr>
          <w:rFonts w:ascii="Arial" w:eastAsia="標楷體" w:hAnsi="Arial" w:cs="Arial" w:hint="eastAsia"/>
          <w:sz w:val="28"/>
          <w:szCs w:val="28"/>
        </w:rPr>
        <w:t>、彈劾案件、審計室建議改善事項、上級與權責機關督導與機關實施自我評估及近期外界關注事項等涉及內部控制缺失部分</w:t>
      </w:r>
      <w:r w:rsidRPr="00A513B0">
        <w:rPr>
          <w:rFonts w:ascii="標楷體" w:eastAsia="標楷體" w:hAnsi="標楷體" w:hint="eastAsia"/>
          <w:color w:val="000000"/>
          <w:sz w:val="28"/>
          <w:szCs w:val="28"/>
          <w:shd w:val="clear" w:color="auto" w:fill="FFFFFF"/>
        </w:rPr>
        <w:t>，決定納入內部控制制度之</w:t>
      </w:r>
      <w:r w:rsidR="00E76899" w:rsidRPr="00A513B0">
        <w:rPr>
          <w:rFonts w:ascii="標楷體" w:eastAsia="標楷體" w:hAnsi="標楷體" w:hint="eastAsia"/>
          <w:color w:val="000000"/>
          <w:sz w:val="28"/>
          <w:szCs w:val="28"/>
          <w:shd w:val="clear" w:color="auto" w:fill="FFFFFF"/>
        </w:rPr>
        <w:t>作業</w:t>
      </w:r>
      <w:r w:rsidRPr="00A513B0">
        <w:rPr>
          <w:rFonts w:ascii="標楷體" w:eastAsia="標楷體" w:hAnsi="標楷體" w:hint="eastAsia"/>
          <w:color w:val="000000"/>
          <w:sz w:val="28"/>
          <w:szCs w:val="28"/>
          <w:shd w:val="clear" w:color="auto" w:fill="FFFFFF"/>
        </w:rPr>
        <w:t>項目</w:t>
      </w:r>
      <w:r w:rsidR="00E76899" w:rsidRPr="00A513B0">
        <w:rPr>
          <w:rFonts w:ascii="標楷體" w:eastAsia="標楷體" w:hAnsi="標楷體" w:hint="eastAsia"/>
          <w:color w:val="000000"/>
          <w:sz w:val="28"/>
          <w:szCs w:val="28"/>
          <w:shd w:val="clear" w:color="auto" w:fill="FFFFFF"/>
        </w:rPr>
        <w:t>。</w:t>
      </w:r>
    </w:p>
    <w:p w:rsidR="00A513B0" w:rsidRPr="00A513B0" w:rsidRDefault="00261EA3" w:rsidP="00116860">
      <w:pPr>
        <w:pStyle w:val="a7"/>
        <w:numPr>
          <w:ilvl w:val="1"/>
          <w:numId w:val="1"/>
        </w:numPr>
        <w:tabs>
          <w:tab w:val="left" w:pos="851"/>
        </w:tabs>
        <w:spacing w:line="400" w:lineRule="exact"/>
        <w:ind w:leftChars="0"/>
        <w:jc w:val="both"/>
        <w:rPr>
          <w:rFonts w:ascii="標楷體" w:eastAsia="標楷體" w:hAnsi="標楷體"/>
          <w:sz w:val="28"/>
          <w:szCs w:val="28"/>
        </w:rPr>
      </w:pPr>
      <w:r>
        <w:rPr>
          <w:rFonts w:ascii="標楷體" w:eastAsia="標楷體" w:hAnsi="標楷體" w:hint="eastAsia"/>
          <w:color w:val="000000"/>
          <w:sz w:val="28"/>
          <w:szCs w:val="28"/>
          <w:shd w:val="clear" w:color="auto" w:fill="FFFFFF"/>
        </w:rPr>
        <w:t>設計</w:t>
      </w:r>
      <w:r w:rsidR="00CF4E1B" w:rsidRPr="00056005">
        <w:rPr>
          <w:rFonts w:ascii="標楷體" w:eastAsia="標楷體" w:hAnsi="標楷體" w:hint="eastAsia"/>
          <w:color w:val="000000"/>
          <w:sz w:val="28"/>
          <w:szCs w:val="28"/>
          <w:shd w:val="clear" w:color="auto" w:fill="FFFFFF"/>
        </w:rPr>
        <w:t>作業</w:t>
      </w:r>
      <w:r>
        <w:rPr>
          <w:rFonts w:ascii="標楷體" w:eastAsia="標楷體" w:hAnsi="標楷體" w:hint="eastAsia"/>
          <w:color w:val="000000"/>
          <w:sz w:val="28"/>
          <w:szCs w:val="28"/>
          <w:shd w:val="clear" w:color="auto" w:fill="FFFFFF"/>
        </w:rPr>
        <w:t>程序</w:t>
      </w:r>
      <w:r w:rsidR="00A513B0">
        <w:rPr>
          <w:rFonts w:ascii="標楷體" w:eastAsia="標楷體" w:hAnsi="標楷體" w:hint="eastAsia"/>
          <w:color w:val="000000"/>
          <w:sz w:val="28"/>
          <w:szCs w:val="28"/>
          <w:shd w:val="clear" w:color="auto" w:fill="FFFFFF"/>
        </w:rPr>
        <w:t>：</w:t>
      </w:r>
    </w:p>
    <w:p w:rsidR="00A513B0" w:rsidRPr="00A513B0"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t>各機關應針對選定</w:t>
      </w:r>
      <w:r w:rsidR="00A513B0">
        <w:rPr>
          <w:rFonts w:ascii="標楷體" w:eastAsia="標楷體" w:hAnsi="標楷體" w:hint="eastAsia"/>
          <w:color w:val="000000"/>
          <w:sz w:val="28"/>
          <w:szCs w:val="28"/>
          <w:shd w:val="clear" w:color="auto" w:fill="FFFFFF"/>
        </w:rPr>
        <w:t>之作業</w:t>
      </w:r>
      <w:r w:rsidRPr="00056005">
        <w:rPr>
          <w:rFonts w:ascii="標楷體" w:eastAsia="標楷體" w:hAnsi="標楷體" w:hint="eastAsia"/>
          <w:color w:val="000000"/>
          <w:sz w:val="28"/>
          <w:szCs w:val="28"/>
          <w:shd w:val="clear" w:color="auto" w:fill="FFFFFF"/>
        </w:rPr>
        <w:t>項目，由內部各單位對其承辦作業流程，視業務性質需要，設計控制重點，包括核准、驗證、調節、覆核、定期盤點、記錄核對、職能分工、實體控制及計畫、預算或前期績效之分析比較等程序。</w:t>
      </w:r>
    </w:p>
    <w:p w:rsidR="00A513B0" w:rsidRPr="00A513B0"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t>各機關應針對已發生內部控制設計缺失之業務項目，即時修正應有之控制重點。</w:t>
      </w:r>
    </w:p>
    <w:p w:rsidR="00A513B0" w:rsidRPr="00A513B0"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proofErr w:type="gramStart"/>
      <w:r w:rsidRPr="00056005">
        <w:rPr>
          <w:rFonts w:ascii="標楷體" w:eastAsia="標楷體" w:hAnsi="標楷體" w:hint="eastAsia"/>
          <w:color w:val="000000"/>
          <w:sz w:val="28"/>
          <w:szCs w:val="28"/>
          <w:shd w:val="clear" w:color="auto" w:fill="FFFFFF"/>
        </w:rPr>
        <w:t>鑑</w:t>
      </w:r>
      <w:proofErr w:type="gramEnd"/>
      <w:r w:rsidRPr="00056005">
        <w:rPr>
          <w:rFonts w:ascii="標楷體" w:eastAsia="標楷體" w:hAnsi="標楷體" w:hint="eastAsia"/>
          <w:color w:val="000000"/>
          <w:sz w:val="28"/>
          <w:szCs w:val="28"/>
          <w:shd w:val="clear" w:color="auto" w:fill="FFFFFF"/>
        </w:rPr>
        <w:t>於跨職能業務項目因涉及機關內部不同單位（或業務）之作業，為強化源頭管理及整合關鍵控制重點，各機關宜視業務性質</w:t>
      </w:r>
      <w:proofErr w:type="gramStart"/>
      <w:r w:rsidRPr="00056005">
        <w:rPr>
          <w:rFonts w:ascii="標楷體" w:eastAsia="標楷體" w:hAnsi="標楷體" w:hint="eastAsia"/>
          <w:color w:val="000000"/>
          <w:sz w:val="28"/>
          <w:szCs w:val="28"/>
          <w:shd w:val="clear" w:color="auto" w:fill="FFFFFF"/>
        </w:rPr>
        <w:t>增納跨職能</w:t>
      </w:r>
      <w:proofErr w:type="gramEnd"/>
      <w:r w:rsidRPr="00056005">
        <w:rPr>
          <w:rFonts w:ascii="標楷體" w:eastAsia="標楷體" w:hAnsi="標楷體" w:hint="eastAsia"/>
          <w:color w:val="000000"/>
          <w:sz w:val="28"/>
          <w:szCs w:val="28"/>
          <w:shd w:val="clear" w:color="auto" w:fill="FFFFFF"/>
        </w:rPr>
        <w:t>整合業務項目以應實需。</w:t>
      </w:r>
    </w:p>
    <w:p w:rsidR="00A513B0" w:rsidRPr="00A513B0" w:rsidRDefault="00ED284D" w:rsidP="00116860">
      <w:pPr>
        <w:pStyle w:val="a7"/>
        <w:numPr>
          <w:ilvl w:val="1"/>
          <w:numId w:val="1"/>
        </w:numPr>
        <w:tabs>
          <w:tab w:val="left" w:pos="851"/>
        </w:tabs>
        <w:spacing w:line="400" w:lineRule="exact"/>
        <w:ind w:leftChars="0"/>
        <w:jc w:val="both"/>
        <w:rPr>
          <w:rFonts w:ascii="標楷體" w:eastAsia="標楷體" w:hAnsi="標楷體"/>
          <w:sz w:val="28"/>
          <w:szCs w:val="28"/>
        </w:rPr>
      </w:pPr>
      <w:r>
        <w:rPr>
          <w:rFonts w:ascii="標楷體" w:eastAsia="標楷體" w:hAnsi="標楷體" w:hint="eastAsia"/>
          <w:color w:val="000000"/>
          <w:sz w:val="28"/>
          <w:szCs w:val="28"/>
          <w:shd w:val="clear" w:color="auto" w:fill="FFFFFF"/>
        </w:rPr>
        <w:t>建立</w:t>
      </w:r>
      <w:r w:rsidR="00CF4E1B" w:rsidRPr="00056005">
        <w:rPr>
          <w:rFonts w:ascii="標楷體" w:eastAsia="標楷體" w:hAnsi="標楷體" w:hint="eastAsia"/>
          <w:color w:val="000000"/>
          <w:sz w:val="28"/>
          <w:szCs w:val="28"/>
          <w:shd w:val="clear" w:color="auto" w:fill="FFFFFF"/>
        </w:rPr>
        <w:t>監督機制</w:t>
      </w:r>
    </w:p>
    <w:p w:rsidR="00A513B0" w:rsidRPr="00A513B0"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t>例行監督：各機關內部各單位主管應督導各項業務執行，以落實管控機制。</w:t>
      </w:r>
    </w:p>
    <w:p w:rsidR="00A513B0" w:rsidRPr="00A513B0"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056005">
        <w:rPr>
          <w:rFonts w:ascii="標楷體" w:eastAsia="標楷體" w:hAnsi="標楷體" w:hint="eastAsia"/>
          <w:color w:val="000000"/>
          <w:sz w:val="28"/>
          <w:szCs w:val="28"/>
          <w:shd w:val="clear" w:color="auto" w:fill="FFFFFF"/>
        </w:rPr>
        <w:t>自行評估：各機關應落實整體層級與作業層級自行評估，適時評估內部控制制度設計及執行之有效性。</w:t>
      </w:r>
    </w:p>
    <w:p w:rsidR="00A513B0" w:rsidRPr="00A513B0" w:rsidRDefault="00CF4E1B" w:rsidP="00116860">
      <w:pPr>
        <w:pStyle w:val="a7"/>
        <w:numPr>
          <w:ilvl w:val="2"/>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內部稽核：各機關應適時辦理內部稽核工作，以合理確保內部控制有效運作。</w:t>
      </w:r>
    </w:p>
    <w:p w:rsidR="00A513B0" w:rsidRPr="00A513B0" w:rsidRDefault="00CF4E1B" w:rsidP="00116860">
      <w:pPr>
        <w:pStyle w:val="a7"/>
        <w:numPr>
          <w:ilvl w:val="0"/>
          <w:numId w:val="1"/>
        </w:numPr>
        <w:tabs>
          <w:tab w:val="left" w:pos="567"/>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各機關內部控制制度之設計，應包括下列文件，並得視管理需要自行增列：</w:t>
      </w:r>
    </w:p>
    <w:p w:rsidR="00A513B0"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名稱：○○機關(單位)內部控制制度。</w:t>
      </w:r>
    </w:p>
    <w:p w:rsidR="00A513B0"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整體層級目標及機關組織職掌。</w:t>
      </w:r>
    </w:p>
    <w:p w:rsidR="00A513B0"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作業層級目標及機關組織圖。</w:t>
      </w:r>
    </w:p>
    <w:p w:rsidR="00A513B0"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機關分層負責明細表。</w:t>
      </w:r>
    </w:p>
    <w:p w:rsidR="00A513B0"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風險評估。</w:t>
      </w:r>
    </w:p>
    <w:p w:rsidR="00A513B0"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控制作業。</w:t>
      </w:r>
    </w:p>
    <w:p w:rsidR="00A513B0"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監督作業。</w:t>
      </w:r>
    </w:p>
    <w:p w:rsidR="00A513B0" w:rsidRPr="00A513B0" w:rsidRDefault="00CF4E1B" w:rsidP="00116860">
      <w:pPr>
        <w:pStyle w:val="a7"/>
        <w:numPr>
          <w:ilvl w:val="1"/>
          <w:numId w:val="1"/>
        </w:numPr>
        <w:tabs>
          <w:tab w:val="left" w:pos="851"/>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自行評估之表件格式。</w:t>
      </w:r>
    </w:p>
    <w:p w:rsidR="00D43BAC" w:rsidRDefault="00CF4E1B" w:rsidP="00116860">
      <w:pPr>
        <w:pStyle w:val="a7"/>
        <w:tabs>
          <w:tab w:val="left" w:pos="851"/>
        </w:tabs>
        <w:spacing w:line="400" w:lineRule="exact"/>
        <w:ind w:leftChars="0"/>
        <w:jc w:val="both"/>
        <w:rPr>
          <w:rFonts w:ascii="標楷體" w:eastAsia="標楷體" w:hAnsi="標楷體"/>
          <w:color w:val="000000"/>
          <w:sz w:val="28"/>
          <w:szCs w:val="28"/>
          <w:shd w:val="clear" w:color="auto" w:fill="FFFFFF"/>
        </w:rPr>
      </w:pPr>
      <w:r w:rsidRPr="00A513B0">
        <w:rPr>
          <w:rFonts w:ascii="標楷體" w:eastAsia="標楷體" w:hAnsi="標楷體" w:hint="eastAsia"/>
          <w:color w:val="000000"/>
          <w:sz w:val="28"/>
          <w:szCs w:val="28"/>
          <w:shd w:val="clear" w:color="auto" w:fill="FFFFFF"/>
        </w:rPr>
        <w:t>前項第</w:t>
      </w:r>
      <w:r w:rsidR="00A513B0" w:rsidRPr="00A513B0">
        <w:rPr>
          <w:rFonts w:ascii="標楷體" w:eastAsia="標楷體" w:hAnsi="標楷體" w:hint="eastAsia"/>
          <w:color w:val="000000"/>
          <w:sz w:val="28"/>
          <w:szCs w:val="28"/>
          <w:shd w:val="clear" w:color="auto" w:fill="FFFFFF"/>
        </w:rPr>
        <w:t>二至三</w:t>
      </w:r>
      <w:r w:rsidRPr="00A513B0">
        <w:rPr>
          <w:rFonts w:ascii="標楷體" w:eastAsia="標楷體" w:hAnsi="標楷體" w:hint="eastAsia"/>
          <w:color w:val="000000"/>
          <w:sz w:val="28"/>
          <w:szCs w:val="28"/>
          <w:shd w:val="clear" w:color="auto" w:fill="FFFFFF"/>
        </w:rPr>
        <w:t>款文件，得以註明出處或建立來源連結之方式辦理</w:t>
      </w:r>
      <w:r w:rsidR="00A513B0">
        <w:rPr>
          <w:rFonts w:ascii="標楷體" w:eastAsia="標楷體" w:hAnsi="標楷體" w:hint="eastAsia"/>
          <w:color w:val="000000"/>
          <w:sz w:val="28"/>
          <w:szCs w:val="28"/>
          <w:shd w:val="clear" w:color="auto" w:fill="FFFFFF"/>
        </w:rPr>
        <w:t>；</w:t>
      </w:r>
      <w:r w:rsidRPr="00A513B0">
        <w:rPr>
          <w:rFonts w:ascii="標楷體" w:eastAsia="標楷體" w:hAnsi="標楷體" w:hint="eastAsia"/>
          <w:color w:val="000000"/>
          <w:sz w:val="28"/>
          <w:szCs w:val="28"/>
          <w:shd w:val="clear" w:color="auto" w:fill="FFFFFF"/>
        </w:rPr>
        <w:t>其核定日期應適當揭露，倘有更新，另加</w:t>
      </w:r>
      <w:proofErr w:type="gramStart"/>
      <w:r w:rsidRPr="00A513B0">
        <w:rPr>
          <w:rFonts w:ascii="標楷體" w:eastAsia="標楷體" w:hAnsi="標楷體" w:hint="eastAsia"/>
          <w:color w:val="000000"/>
          <w:sz w:val="28"/>
          <w:szCs w:val="28"/>
          <w:shd w:val="clear" w:color="auto" w:fill="FFFFFF"/>
        </w:rPr>
        <w:t>註</w:t>
      </w:r>
      <w:proofErr w:type="gramEnd"/>
      <w:r w:rsidRPr="00A513B0">
        <w:rPr>
          <w:rFonts w:ascii="標楷體" w:eastAsia="標楷體" w:hAnsi="標楷體" w:hint="eastAsia"/>
          <w:color w:val="000000"/>
          <w:sz w:val="28"/>
          <w:szCs w:val="28"/>
          <w:shd w:val="clear" w:color="auto" w:fill="FFFFFF"/>
        </w:rPr>
        <w:t>最新修訂日期；其檔</w:t>
      </w:r>
      <w:r w:rsidRPr="00A513B0">
        <w:rPr>
          <w:rFonts w:ascii="標楷體" w:eastAsia="標楷體" w:hAnsi="標楷體" w:hint="eastAsia"/>
          <w:color w:val="000000"/>
          <w:sz w:val="28"/>
          <w:szCs w:val="28"/>
          <w:shd w:val="clear" w:color="auto" w:fill="FFFFFF"/>
        </w:rPr>
        <w:lastRenderedPageBreak/>
        <w:t>案可</w:t>
      </w:r>
      <w:proofErr w:type="gramStart"/>
      <w:r w:rsidRPr="00A513B0">
        <w:rPr>
          <w:rFonts w:ascii="標楷體" w:eastAsia="標楷體" w:hAnsi="標楷體" w:hint="eastAsia"/>
          <w:color w:val="000000"/>
          <w:sz w:val="28"/>
          <w:szCs w:val="28"/>
          <w:shd w:val="clear" w:color="auto" w:fill="FFFFFF"/>
        </w:rPr>
        <w:t>採</w:t>
      </w:r>
      <w:proofErr w:type="gramEnd"/>
      <w:r w:rsidRPr="00A513B0">
        <w:rPr>
          <w:rFonts w:ascii="標楷體" w:eastAsia="標楷體" w:hAnsi="標楷體" w:hint="eastAsia"/>
          <w:color w:val="000000"/>
          <w:sz w:val="28"/>
          <w:szCs w:val="28"/>
          <w:shd w:val="clear" w:color="auto" w:fill="FFFFFF"/>
        </w:rPr>
        <w:t>紙本、電子或其他方式儲存管理。另為便於查閱，應就其內容建立整體目錄索引。</w:t>
      </w:r>
    </w:p>
    <w:p w:rsidR="00827E6E" w:rsidRPr="00827E6E" w:rsidRDefault="00CF4E1B" w:rsidP="00116860">
      <w:pPr>
        <w:pStyle w:val="a7"/>
        <w:numPr>
          <w:ilvl w:val="0"/>
          <w:numId w:val="1"/>
        </w:numPr>
        <w:tabs>
          <w:tab w:val="left" w:pos="567"/>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各機關如已建置有效之內部控制程序文件，例如經國內外驗證通過</w:t>
      </w:r>
      <w:r w:rsidR="00827E6E">
        <w:rPr>
          <w:rFonts w:ascii="標楷體" w:eastAsia="標楷體" w:hAnsi="標楷體" w:hint="eastAsia"/>
          <w:color w:val="000000"/>
          <w:sz w:val="28"/>
          <w:szCs w:val="28"/>
          <w:shd w:val="clear" w:color="auto" w:fill="FFFFFF"/>
        </w:rPr>
        <w:t>之標準制度文件等，得納為內部控制制度之一部分，惟仍</w:t>
      </w:r>
      <w:r w:rsidR="00015A9C">
        <w:rPr>
          <w:rFonts w:ascii="標楷體" w:eastAsia="標楷體" w:hAnsi="標楷體" w:hint="eastAsia"/>
          <w:color w:val="000000"/>
          <w:sz w:val="28"/>
          <w:szCs w:val="28"/>
          <w:shd w:val="clear" w:color="auto" w:fill="FFFFFF"/>
        </w:rPr>
        <w:t>應</w:t>
      </w:r>
      <w:r w:rsidRPr="00A513B0">
        <w:rPr>
          <w:rFonts w:ascii="標楷體" w:eastAsia="標楷體" w:hAnsi="標楷體" w:hint="eastAsia"/>
          <w:color w:val="000000"/>
          <w:sz w:val="28"/>
          <w:szCs w:val="28"/>
          <w:shd w:val="clear" w:color="auto" w:fill="FFFFFF"/>
        </w:rPr>
        <w:t>設計相關控制重點。</w:t>
      </w:r>
    </w:p>
    <w:p w:rsidR="00827E6E" w:rsidRPr="00827E6E" w:rsidRDefault="00015A9C" w:rsidP="00116860">
      <w:pPr>
        <w:pStyle w:val="a7"/>
        <w:numPr>
          <w:ilvl w:val="0"/>
          <w:numId w:val="1"/>
        </w:numPr>
        <w:tabs>
          <w:tab w:val="left" w:pos="567"/>
        </w:tabs>
        <w:spacing w:line="400" w:lineRule="exact"/>
        <w:ind w:leftChars="0"/>
        <w:jc w:val="both"/>
        <w:rPr>
          <w:rFonts w:ascii="標楷體" w:eastAsia="標楷體" w:hAnsi="標楷體"/>
          <w:sz w:val="28"/>
          <w:szCs w:val="28"/>
        </w:rPr>
      </w:pPr>
      <w:r>
        <w:rPr>
          <w:rFonts w:ascii="標楷體" w:eastAsia="標楷體" w:hAnsi="標楷體" w:hint="eastAsia"/>
          <w:color w:val="000000"/>
          <w:sz w:val="28"/>
          <w:szCs w:val="28"/>
          <w:shd w:val="clear" w:color="auto" w:fill="FFFFFF"/>
        </w:rPr>
        <w:t>各機關內部控制制度及其附件</w:t>
      </w:r>
      <w:r w:rsidR="00CF4E1B" w:rsidRPr="00A513B0">
        <w:rPr>
          <w:rFonts w:ascii="標楷體" w:eastAsia="標楷體" w:hAnsi="標楷體" w:hint="eastAsia"/>
          <w:color w:val="000000"/>
          <w:sz w:val="28"/>
          <w:szCs w:val="28"/>
          <w:shd w:val="clear" w:color="auto" w:fill="FFFFFF"/>
        </w:rPr>
        <w:t>增刪或修訂時，應由機關首長核可後逕行修正，</w:t>
      </w:r>
      <w:r w:rsidR="00827E6E">
        <w:rPr>
          <w:rFonts w:ascii="標楷體" w:eastAsia="標楷體" w:hAnsi="標楷體" w:hint="eastAsia"/>
          <w:color w:val="000000"/>
          <w:sz w:val="28"/>
          <w:szCs w:val="28"/>
          <w:shd w:val="clear" w:color="auto" w:fill="FFFFFF"/>
        </w:rPr>
        <w:t>並</w:t>
      </w:r>
      <w:r w:rsidR="00CF4E1B" w:rsidRPr="00A513B0">
        <w:rPr>
          <w:rFonts w:ascii="標楷體" w:eastAsia="標楷體" w:hAnsi="標楷體" w:hint="eastAsia"/>
          <w:color w:val="000000"/>
          <w:sz w:val="28"/>
          <w:szCs w:val="28"/>
          <w:shd w:val="clear" w:color="auto" w:fill="FFFFFF"/>
        </w:rPr>
        <w:t>將歷次修訂過程列入內部控制制度修訂紀錄，以供查考。</w:t>
      </w:r>
    </w:p>
    <w:p w:rsidR="00E5261B" w:rsidRPr="00A513B0" w:rsidRDefault="00CF4E1B" w:rsidP="00116860">
      <w:pPr>
        <w:pStyle w:val="a7"/>
        <w:numPr>
          <w:ilvl w:val="0"/>
          <w:numId w:val="1"/>
        </w:numPr>
        <w:tabs>
          <w:tab w:val="left" w:pos="567"/>
        </w:tabs>
        <w:spacing w:line="400" w:lineRule="exact"/>
        <w:ind w:leftChars="0"/>
        <w:jc w:val="both"/>
        <w:rPr>
          <w:rFonts w:ascii="標楷體" w:eastAsia="標楷體" w:hAnsi="標楷體"/>
          <w:sz w:val="28"/>
          <w:szCs w:val="28"/>
        </w:rPr>
      </w:pPr>
      <w:r w:rsidRPr="00A513B0">
        <w:rPr>
          <w:rFonts w:ascii="標楷體" w:eastAsia="標楷體" w:hAnsi="標楷體" w:hint="eastAsia"/>
          <w:color w:val="000000"/>
          <w:sz w:val="28"/>
          <w:szCs w:val="28"/>
          <w:shd w:val="clear" w:color="auto" w:fill="FFFFFF"/>
        </w:rPr>
        <w:t>本原則未規定之事項，得依相關規定辦理。</w:t>
      </w:r>
    </w:p>
    <w:sectPr w:rsidR="00E5261B" w:rsidRPr="00A513B0" w:rsidSect="00694323">
      <w:headerReference w:type="default" r:id="rId8"/>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90" w:rsidRDefault="00DF7C90" w:rsidP="00CF4E1B">
      <w:r>
        <w:separator/>
      </w:r>
    </w:p>
  </w:endnote>
  <w:endnote w:type="continuationSeparator" w:id="0">
    <w:p w:rsidR="00DF7C90" w:rsidRDefault="00DF7C90" w:rsidP="00CF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62601"/>
      <w:docPartObj>
        <w:docPartGallery w:val="Page Numbers (Bottom of Page)"/>
        <w:docPartUnique/>
      </w:docPartObj>
    </w:sdtPr>
    <w:sdtEndPr/>
    <w:sdtContent>
      <w:p w:rsidR="00CC39C6" w:rsidRDefault="00CC39C6">
        <w:pPr>
          <w:pStyle w:val="a5"/>
          <w:jc w:val="center"/>
        </w:pPr>
        <w:r>
          <w:fldChar w:fldCharType="begin"/>
        </w:r>
        <w:r>
          <w:instrText>PAGE   \* MERGEFORMAT</w:instrText>
        </w:r>
        <w:r>
          <w:fldChar w:fldCharType="separate"/>
        </w:r>
        <w:r w:rsidR="00A67745" w:rsidRPr="00A67745">
          <w:rPr>
            <w:noProof/>
            <w:lang w:val="zh-TW"/>
          </w:rPr>
          <w:t>1</w:t>
        </w:r>
        <w:r>
          <w:fldChar w:fldCharType="end"/>
        </w:r>
      </w:p>
    </w:sdtContent>
  </w:sdt>
  <w:p w:rsidR="00CC39C6" w:rsidRDefault="00CC39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90" w:rsidRDefault="00DF7C90" w:rsidP="00CF4E1B">
      <w:r>
        <w:separator/>
      </w:r>
    </w:p>
  </w:footnote>
  <w:footnote w:type="continuationSeparator" w:id="0">
    <w:p w:rsidR="00DF7C90" w:rsidRDefault="00DF7C90" w:rsidP="00CF4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B7" w:rsidRPr="00116860" w:rsidRDefault="004B27B7" w:rsidP="004B27B7">
    <w:pPr>
      <w:pStyle w:val="a3"/>
      <w:jc w:val="right"/>
      <w:rPr>
        <w:sz w:val="18"/>
        <w:szCs w:val="18"/>
      </w:rPr>
    </w:pPr>
  </w:p>
  <w:p w:rsidR="004B27B7" w:rsidRDefault="004B27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12477"/>
    <w:multiLevelType w:val="hybridMultilevel"/>
    <w:tmpl w:val="9B7C717E"/>
    <w:lvl w:ilvl="0" w:tplc="04090015">
      <w:start w:val="1"/>
      <w:numFmt w:val="taiwaneseCountingThousand"/>
      <w:lvlText w:val="%1、"/>
      <w:lvlJc w:val="left"/>
      <w:pPr>
        <w:ind w:left="480" w:hanging="480"/>
      </w:pPr>
    </w:lvl>
    <w:lvl w:ilvl="1" w:tplc="878204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4D"/>
    <w:rsid w:val="00015A9C"/>
    <w:rsid w:val="00021983"/>
    <w:rsid w:val="00056005"/>
    <w:rsid w:val="000B48EE"/>
    <w:rsid w:val="00116860"/>
    <w:rsid w:val="00175DFB"/>
    <w:rsid w:val="00261EA3"/>
    <w:rsid w:val="00424540"/>
    <w:rsid w:val="004B27B7"/>
    <w:rsid w:val="004C7B10"/>
    <w:rsid w:val="0054042E"/>
    <w:rsid w:val="005465F2"/>
    <w:rsid w:val="00694323"/>
    <w:rsid w:val="00753A17"/>
    <w:rsid w:val="00827E6E"/>
    <w:rsid w:val="009C4F65"/>
    <w:rsid w:val="009D6E68"/>
    <w:rsid w:val="00A513B0"/>
    <w:rsid w:val="00A6294A"/>
    <w:rsid w:val="00A6462A"/>
    <w:rsid w:val="00A67745"/>
    <w:rsid w:val="00AA35EE"/>
    <w:rsid w:val="00AC7E4D"/>
    <w:rsid w:val="00AE66A7"/>
    <w:rsid w:val="00B05637"/>
    <w:rsid w:val="00BA7D16"/>
    <w:rsid w:val="00CB7C56"/>
    <w:rsid w:val="00CC39C6"/>
    <w:rsid w:val="00CF4E1B"/>
    <w:rsid w:val="00CF5EF6"/>
    <w:rsid w:val="00D024BD"/>
    <w:rsid w:val="00D43BAC"/>
    <w:rsid w:val="00DF7C90"/>
    <w:rsid w:val="00E76899"/>
    <w:rsid w:val="00EB1FE5"/>
    <w:rsid w:val="00ED2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E1B"/>
    <w:pPr>
      <w:tabs>
        <w:tab w:val="center" w:pos="4153"/>
        <w:tab w:val="right" w:pos="8306"/>
      </w:tabs>
      <w:snapToGrid w:val="0"/>
    </w:pPr>
    <w:rPr>
      <w:sz w:val="20"/>
      <w:szCs w:val="20"/>
    </w:rPr>
  </w:style>
  <w:style w:type="character" w:customStyle="1" w:styleId="a4">
    <w:name w:val="頁首 字元"/>
    <w:basedOn w:val="a0"/>
    <w:link w:val="a3"/>
    <w:uiPriority w:val="99"/>
    <w:rsid w:val="00CF4E1B"/>
    <w:rPr>
      <w:sz w:val="20"/>
      <w:szCs w:val="20"/>
    </w:rPr>
  </w:style>
  <w:style w:type="paragraph" w:styleId="a5">
    <w:name w:val="footer"/>
    <w:basedOn w:val="a"/>
    <w:link w:val="a6"/>
    <w:uiPriority w:val="99"/>
    <w:unhideWhenUsed/>
    <w:rsid w:val="00CF4E1B"/>
    <w:pPr>
      <w:tabs>
        <w:tab w:val="center" w:pos="4153"/>
        <w:tab w:val="right" w:pos="8306"/>
      </w:tabs>
      <w:snapToGrid w:val="0"/>
    </w:pPr>
    <w:rPr>
      <w:sz w:val="20"/>
      <w:szCs w:val="20"/>
    </w:rPr>
  </w:style>
  <w:style w:type="character" w:customStyle="1" w:styleId="a6">
    <w:name w:val="頁尾 字元"/>
    <w:basedOn w:val="a0"/>
    <w:link w:val="a5"/>
    <w:uiPriority w:val="99"/>
    <w:rsid w:val="00CF4E1B"/>
    <w:rPr>
      <w:sz w:val="20"/>
      <w:szCs w:val="20"/>
    </w:rPr>
  </w:style>
  <w:style w:type="paragraph" w:styleId="a7">
    <w:name w:val="List Paragraph"/>
    <w:basedOn w:val="a"/>
    <w:uiPriority w:val="34"/>
    <w:qFormat/>
    <w:rsid w:val="00CF4E1B"/>
    <w:pPr>
      <w:ind w:leftChars="200" w:left="480"/>
    </w:pPr>
  </w:style>
  <w:style w:type="paragraph" w:styleId="HTML">
    <w:name w:val="HTML Preformatted"/>
    <w:basedOn w:val="a"/>
    <w:link w:val="HTML0"/>
    <w:uiPriority w:val="99"/>
    <w:unhideWhenUsed/>
    <w:rsid w:val="00261E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61EA3"/>
    <w:rPr>
      <w:rFonts w:ascii="細明體" w:eastAsia="細明體" w:hAnsi="細明體" w:cs="細明體"/>
      <w:kern w:val="0"/>
      <w:szCs w:val="24"/>
    </w:rPr>
  </w:style>
  <w:style w:type="paragraph" w:styleId="a8">
    <w:name w:val="Balloon Text"/>
    <w:basedOn w:val="a"/>
    <w:link w:val="a9"/>
    <w:uiPriority w:val="99"/>
    <w:semiHidden/>
    <w:unhideWhenUsed/>
    <w:rsid w:val="004B27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27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E1B"/>
    <w:pPr>
      <w:tabs>
        <w:tab w:val="center" w:pos="4153"/>
        <w:tab w:val="right" w:pos="8306"/>
      </w:tabs>
      <w:snapToGrid w:val="0"/>
    </w:pPr>
    <w:rPr>
      <w:sz w:val="20"/>
      <w:szCs w:val="20"/>
    </w:rPr>
  </w:style>
  <w:style w:type="character" w:customStyle="1" w:styleId="a4">
    <w:name w:val="頁首 字元"/>
    <w:basedOn w:val="a0"/>
    <w:link w:val="a3"/>
    <w:uiPriority w:val="99"/>
    <w:rsid w:val="00CF4E1B"/>
    <w:rPr>
      <w:sz w:val="20"/>
      <w:szCs w:val="20"/>
    </w:rPr>
  </w:style>
  <w:style w:type="paragraph" w:styleId="a5">
    <w:name w:val="footer"/>
    <w:basedOn w:val="a"/>
    <w:link w:val="a6"/>
    <w:uiPriority w:val="99"/>
    <w:unhideWhenUsed/>
    <w:rsid w:val="00CF4E1B"/>
    <w:pPr>
      <w:tabs>
        <w:tab w:val="center" w:pos="4153"/>
        <w:tab w:val="right" w:pos="8306"/>
      </w:tabs>
      <w:snapToGrid w:val="0"/>
    </w:pPr>
    <w:rPr>
      <w:sz w:val="20"/>
      <w:szCs w:val="20"/>
    </w:rPr>
  </w:style>
  <w:style w:type="character" w:customStyle="1" w:styleId="a6">
    <w:name w:val="頁尾 字元"/>
    <w:basedOn w:val="a0"/>
    <w:link w:val="a5"/>
    <w:uiPriority w:val="99"/>
    <w:rsid w:val="00CF4E1B"/>
    <w:rPr>
      <w:sz w:val="20"/>
      <w:szCs w:val="20"/>
    </w:rPr>
  </w:style>
  <w:style w:type="paragraph" w:styleId="a7">
    <w:name w:val="List Paragraph"/>
    <w:basedOn w:val="a"/>
    <w:uiPriority w:val="34"/>
    <w:qFormat/>
    <w:rsid w:val="00CF4E1B"/>
    <w:pPr>
      <w:ind w:leftChars="200" w:left="480"/>
    </w:pPr>
  </w:style>
  <w:style w:type="paragraph" w:styleId="HTML">
    <w:name w:val="HTML Preformatted"/>
    <w:basedOn w:val="a"/>
    <w:link w:val="HTML0"/>
    <w:uiPriority w:val="99"/>
    <w:unhideWhenUsed/>
    <w:rsid w:val="00261E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61EA3"/>
    <w:rPr>
      <w:rFonts w:ascii="細明體" w:eastAsia="細明體" w:hAnsi="細明體" w:cs="細明體"/>
      <w:kern w:val="0"/>
      <w:szCs w:val="24"/>
    </w:rPr>
  </w:style>
  <w:style w:type="paragraph" w:styleId="a8">
    <w:name w:val="Balloon Text"/>
    <w:basedOn w:val="a"/>
    <w:link w:val="a9"/>
    <w:uiPriority w:val="99"/>
    <w:semiHidden/>
    <w:unhideWhenUsed/>
    <w:rsid w:val="004B27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2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苗栗縣政府暨所屬機關學校內部控制制度設計原則</dc:title>
  <dc:creator>溫貽嬋</dc:creator>
  <cp:lastModifiedBy>林雅婷</cp:lastModifiedBy>
  <cp:revision>2</cp:revision>
  <cp:lastPrinted>2019-01-15T02:51:00Z</cp:lastPrinted>
  <dcterms:created xsi:type="dcterms:W3CDTF">2020-11-10T00:35:00Z</dcterms:created>
  <dcterms:modified xsi:type="dcterms:W3CDTF">2020-11-10T00:35:00Z</dcterms:modified>
</cp:coreProperties>
</file>