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24" w:rsidRPr="002B79A9" w:rsidRDefault="003D7B38" w:rsidP="000A1E58">
      <w:pPr>
        <w:spacing w:line="520" w:lineRule="exact"/>
        <w:jc w:val="both"/>
        <w:rPr>
          <w:rFonts w:ascii="標楷體" w:eastAsia="標楷體" w:hAnsi="標楷體"/>
          <w:b/>
          <w:kern w:val="0"/>
          <w:sz w:val="36"/>
          <w:szCs w:val="36"/>
        </w:rPr>
      </w:pPr>
      <w:r w:rsidRPr="002B79A9">
        <w:rPr>
          <w:rFonts w:ascii="標楷體" w:eastAsia="標楷體" w:hAnsi="標楷體" w:hint="eastAsia"/>
          <w:b/>
          <w:color w:val="000000"/>
          <w:sz w:val="36"/>
          <w:szCs w:val="36"/>
        </w:rPr>
        <w:t>大陸地區人民在臺灣地區取得設定或移轉不動產物權許可辦法</w:t>
      </w:r>
      <w:r w:rsidR="00566C44">
        <w:rPr>
          <w:rFonts w:ascii="標楷體" w:eastAsia="標楷體" w:hAnsi="標楷體" w:hint="eastAsia"/>
          <w:b/>
          <w:color w:val="000000"/>
          <w:sz w:val="36"/>
          <w:szCs w:val="36"/>
        </w:rPr>
        <w:t>修正條文</w:t>
      </w:r>
    </w:p>
    <w:p w:rsidR="006C2024" w:rsidRPr="00343674" w:rsidRDefault="00E4638F" w:rsidP="000A1E58">
      <w:pPr>
        <w:spacing w:line="520" w:lineRule="exact"/>
        <w:ind w:left="931" w:hangingChars="300" w:hanging="931"/>
        <w:jc w:val="both"/>
        <w:rPr>
          <w:rFonts w:ascii="標楷體" w:eastAsia="標楷體" w:hAnsi="標楷體"/>
          <w:spacing w:val="15"/>
          <w:sz w:val="28"/>
          <w:szCs w:val="28"/>
        </w:rPr>
      </w:pPr>
      <w:r w:rsidRPr="00343674">
        <w:rPr>
          <w:rFonts w:ascii="標楷體" w:eastAsia="標楷體" w:hAnsi="標楷體" w:hint="eastAsia"/>
          <w:b/>
          <w:spacing w:val="15"/>
          <w:sz w:val="28"/>
          <w:szCs w:val="28"/>
        </w:rPr>
        <w:t>第一條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本辦法依臺灣地區與大陸地區人民關係條例（以下簡稱本條例）第六十九條第二項規定訂定之。</w:t>
      </w:r>
    </w:p>
    <w:p w:rsidR="006C2024" w:rsidRPr="00343674" w:rsidRDefault="006C2024" w:rsidP="000A1E58">
      <w:pPr>
        <w:spacing w:line="520" w:lineRule="exact"/>
        <w:ind w:left="931" w:hangingChars="300" w:hanging="931"/>
        <w:jc w:val="both"/>
        <w:rPr>
          <w:rFonts w:ascii="標楷體" w:eastAsia="標楷體" w:hAnsi="標楷體" w:cs="Times New Roman"/>
          <w:sz w:val="28"/>
          <w:szCs w:val="28"/>
        </w:rPr>
      </w:pPr>
      <w:r w:rsidRPr="00343674">
        <w:rPr>
          <w:rFonts w:ascii="標楷體" w:eastAsia="標楷體" w:hAnsi="標楷體" w:hint="eastAsia"/>
          <w:b/>
          <w:spacing w:val="15"/>
          <w:sz w:val="28"/>
          <w:szCs w:val="28"/>
        </w:rPr>
        <w:t>第二條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大陸地區人民、法人、團體或其他機構，或其於第三地區投資之公司（以下簡稱陸資公司）申請在臺灣地區取得、設定不動產物權之標的為下列不動產時，應不予許可：</w:t>
      </w:r>
    </w:p>
    <w:p w:rsidR="003D7B38" w:rsidRPr="00A14D77" w:rsidRDefault="003D7B38" w:rsidP="00A14D77">
      <w:pPr>
        <w:pStyle w:val="a3"/>
        <w:numPr>
          <w:ilvl w:val="0"/>
          <w:numId w:val="7"/>
        </w:numPr>
        <w:spacing w:line="520" w:lineRule="exact"/>
        <w:ind w:leftChars="0" w:left="2086" w:hanging="646"/>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土地法第十四條第一項各款或第十七條第一項各款所定之土地。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依國家安全法及其施行細則所劃定公告一定範圍之土地。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依要塞堡壘地帶法所劃定公告一定範圍之土地。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各港口地帶，由港口主管機關會同國防部及所在地地方政府所劃定一定範圍之土地。</w:t>
      </w:r>
    </w:p>
    <w:p w:rsidR="003D7B38" w:rsidRPr="00A14D77" w:rsidRDefault="003D7B38" w:rsidP="00A14D77">
      <w:pPr>
        <w:pStyle w:val="a3"/>
        <w:numPr>
          <w:ilvl w:val="0"/>
          <w:numId w:val="7"/>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其他經中央目的事業主管機關劃定應予禁止取得之土地。</w:t>
      </w:r>
    </w:p>
    <w:p w:rsidR="006C2024" w:rsidRPr="00343674" w:rsidRDefault="006C2024" w:rsidP="000A1E58">
      <w:pPr>
        <w:spacing w:line="520" w:lineRule="exact"/>
        <w:ind w:left="931" w:hangingChars="300" w:hanging="931"/>
        <w:jc w:val="both"/>
        <w:rPr>
          <w:rFonts w:ascii="標楷體" w:eastAsia="標楷體" w:hAnsi="標楷體"/>
          <w:spacing w:val="15"/>
          <w:sz w:val="28"/>
          <w:szCs w:val="28"/>
        </w:rPr>
      </w:pPr>
      <w:r w:rsidRPr="00343674">
        <w:rPr>
          <w:rFonts w:ascii="標楷體" w:eastAsia="標楷體" w:hAnsi="標楷體" w:hint="eastAsia"/>
          <w:b/>
          <w:spacing w:val="15"/>
          <w:sz w:val="28"/>
          <w:szCs w:val="28"/>
        </w:rPr>
        <w:t>第三條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大陸地區人民、法人、團體或其他機構，或陸資公司申請在臺灣地區取得、設定或移轉不動產物權，有下列情形之一者，應不予許可：</w:t>
      </w:r>
    </w:p>
    <w:p w:rsidR="006C2024" w:rsidRPr="00343674" w:rsidRDefault="006C2024" w:rsidP="000A1E58">
      <w:pPr>
        <w:spacing w:line="520" w:lineRule="exact"/>
        <w:ind w:leftChars="618" w:left="1483"/>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一、</w:t>
      </w:r>
      <w:r w:rsidR="003D7B38" w:rsidRPr="00343674">
        <w:rPr>
          <w:rFonts w:ascii="標楷體" w:eastAsia="標楷體" w:hAnsi="標楷體" w:cs="Times New Roman" w:hint="eastAsia"/>
          <w:sz w:val="28"/>
          <w:szCs w:val="28"/>
        </w:rPr>
        <w:t>影響國家重大建設。</w:t>
      </w:r>
    </w:p>
    <w:p w:rsidR="006C2024" w:rsidRPr="00343674" w:rsidRDefault="006C2024" w:rsidP="000A1E58">
      <w:pPr>
        <w:pStyle w:val="HTML"/>
        <w:tabs>
          <w:tab w:val="clear" w:pos="916"/>
        </w:tabs>
        <w:spacing w:line="520" w:lineRule="exact"/>
        <w:ind w:leftChars="172" w:left="413" w:firstLineChars="350" w:firstLine="1085"/>
        <w:jc w:val="both"/>
        <w:rPr>
          <w:rFonts w:ascii="標楷體" w:eastAsia="標楷體" w:hAnsi="標楷體" w:cs="Times New Roman"/>
          <w:kern w:val="2"/>
          <w:sz w:val="28"/>
          <w:szCs w:val="28"/>
        </w:rPr>
      </w:pPr>
      <w:r w:rsidRPr="00343674">
        <w:rPr>
          <w:rFonts w:ascii="標楷體" w:eastAsia="標楷體" w:hAnsi="標楷體" w:cs="新細明體" w:hint="eastAsia"/>
          <w:spacing w:val="15"/>
          <w:sz w:val="28"/>
          <w:szCs w:val="28"/>
        </w:rPr>
        <w:t>二、</w:t>
      </w:r>
      <w:r w:rsidR="003D7B38" w:rsidRPr="00343674">
        <w:rPr>
          <w:rFonts w:ascii="標楷體" w:eastAsia="標楷體" w:hAnsi="標楷體" w:cs="Times New Roman" w:hint="eastAsia"/>
          <w:kern w:val="2"/>
          <w:sz w:val="28"/>
          <w:szCs w:val="28"/>
        </w:rPr>
        <w:t>涉及土地壟斷投機或炒作。</w:t>
      </w:r>
    </w:p>
    <w:p w:rsidR="006C2024" w:rsidRPr="00343674" w:rsidRDefault="006C2024" w:rsidP="000A1E58">
      <w:pPr>
        <w:spacing w:line="520" w:lineRule="exact"/>
        <w:ind w:leftChars="618" w:left="1483"/>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三、</w:t>
      </w:r>
      <w:r w:rsidR="003D7B38" w:rsidRPr="00343674">
        <w:rPr>
          <w:rFonts w:ascii="標楷體" w:eastAsia="標楷體" w:hAnsi="標楷體" w:cs="Times New Roman" w:hint="eastAsia"/>
          <w:sz w:val="28"/>
          <w:szCs w:val="28"/>
        </w:rPr>
        <w:t>影響國土整體發展。</w:t>
      </w:r>
    </w:p>
    <w:p w:rsidR="006C2024" w:rsidRPr="00755A2A" w:rsidRDefault="006C2024" w:rsidP="000A1E58">
      <w:pPr>
        <w:spacing w:line="520" w:lineRule="exact"/>
        <w:ind w:leftChars="618" w:left="2047" w:hangingChars="182" w:hanging="564"/>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四、</w:t>
      </w:r>
      <w:r w:rsidR="003D7B38" w:rsidRPr="00343674">
        <w:rPr>
          <w:rFonts w:ascii="標楷體" w:eastAsia="標楷體" w:hAnsi="標楷體" w:cs="Times New Roman" w:hint="eastAsia"/>
          <w:sz w:val="28"/>
          <w:szCs w:val="28"/>
        </w:rPr>
        <w:t>其他經中央目的事業主管機關認為足以危害國家安全或社會安定之虞。</w:t>
      </w:r>
    </w:p>
    <w:p w:rsidR="006C2024" w:rsidRPr="00343674" w:rsidRDefault="006C2024" w:rsidP="000A1E58">
      <w:pPr>
        <w:spacing w:line="520" w:lineRule="exact"/>
        <w:jc w:val="both"/>
        <w:rPr>
          <w:rFonts w:ascii="標楷體" w:eastAsia="標楷體" w:hAnsi="標楷體"/>
          <w:spacing w:val="15"/>
          <w:sz w:val="28"/>
          <w:szCs w:val="28"/>
        </w:rPr>
      </w:pPr>
      <w:r w:rsidRPr="00343674">
        <w:rPr>
          <w:rFonts w:ascii="標楷體" w:eastAsia="標楷體" w:hAnsi="標楷體" w:hint="eastAsia"/>
          <w:b/>
          <w:spacing w:val="15"/>
          <w:sz w:val="28"/>
          <w:szCs w:val="28"/>
        </w:rPr>
        <w:t>第四條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符合下列情形之一者，得為不動產登記之權利主體：</w:t>
      </w:r>
    </w:p>
    <w:p w:rsidR="006C2024" w:rsidRPr="00A14D77" w:rsidRDefault="003D7B38" w:rsidP="00A14D77">
      <w:pPr>
        <w:pStyle w:val="a3"/>
        <w:numPr>
          <w:ilvl w:val="0"/>
          <w:numId w:val="11"/>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Times New Roman" w:hint="eastAsia"/>
          <w:sz w:val="28"/>
          <w:szCs w:val="28"/>
        </w:rPr>
        <w:t>大陸地區人民。但現擔任大陸地區黨務、軍事、行政</w:t>
      </w:r>
      <w:r w:rsidRPr="00A14D77">
        <w:rPr>
          <w:rFonts w:ascii="標楷體" w:eastAsia="標楷體" w:hAnsi="標楷體" w:cs="Times New Roman" w:hint="eastAsia"/>
          <w:sz w:val="28"/>
          <w:szCs w:val="28"/>
        </w:rPr>
        <w:lastRenderedPageBreak/>
        <w:t>或具政治性機關（構）、團體之職務或為成員者，不得取得或設定不動產物權。</w:t>
      </w:r>
    </w:p>
    <w:p w:rsidR="006C2024" w:rsidRPr="00A14D77" w:rsidRDefault="003D7B38" w:rsidP="00A14D77">
      <w:pPr>
        <w:pStyle w:val="a3"/>
        <w:numPr>
          <w:ilvl w:val="0"/>
          <w:numId w:val="11"/>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新細明體" w:hint="eastAsia"/>
          <w:spacing w:val="15"/>
          <w:kern w:val="0"/>
          <w:sz w:val="28"/>
          <w:szCs w:val="28"/>
        </w:rPr>
        <w:t>經依本條例許可之大陸地區法人、團體或其他機構。</w:t>
      </w:r>
    </w:p>
    <w:p w:rsidR="006C2024" w:rsidRPr="00A14D77" w:rsidRDefault="003D7B38" w:rsidP="00A14D77">
      <w:pPr>
        <w:pStyle w:val="a3"/>
        <w:numPr>
          <w:ilvl w:val="0"/>
          <w:numId w:val="11"/>
        </w:numPr>
        <w:spacing w:line="520" w:lineRule="exact"/>
        <w:ind w:leftChars="0" w:left="2072" w:hanging="632"/>
        <w:jc w:val="both"/>
        <w:rPr>
          <w:rFonts w:ascii="標楷體" w:eastAsia="標楷體" w:hAnsi="標楷體" w:cs="新細明體"/>
          <w:spacing w:val="15"/>
          <w:kern w:val="0"/>
          <w:sz w:val="28"/>
          <w:szCs w:val="28"/>
        </w:rPr>
      </w:pPr>
      <w:r w:rsidRPr="00A14D77">
        <w:rPr>
          <w:rFonts w:ascii="標楷體" w:eastAsia="標楷體" w:hAnsi="標楷體" w:cs="新細明體" w:hint="eastAsia"/>
          <w:spacing w:val="15"/>
          <w:kern w:val="0"/>
          <w:sz w:val="28"/>
          <w:szCs w:val="28"/>
        </w:rPr>
        <w:t>經依公司法認許之陸資公司。</w:t>
      </w:r>
    </w:p>
    <w:p w:rsidR="006C2024" w:rsidRPr="00343674" w:rsidRDefault="006C2024" w:rsidP="000A1E58">
      <w:pPr>
        <w:spacing w:line="520" w:lineRule="exact"/>
        <w:ind w:left="931" w:hangingChars="300" w:hanging="931"/>
        <w:jc w:val="both"/>
        <w:rPr>
          <w:rFonts w:ascii="標楷體" w:eastAsia="標楷體" w:hAnsi="標楷體"/>
          <w:b/>
          <w:spacing w:val="15"/>
          <w:sz w:val="28"/>
          <w:szCs w:val="28"/>
        </w:rPr>
      </w:pPr>
      <w:r w:rsidRPr="003C188D">
        <w:rPr>
          <w:rFonts w:ascii="標楷體" w:eastAsia="標楷體" w:hAnsi="標楷體" w:hint="eastAsia"/>
          <w:b/>
          <w:color w:val="0070C0"/>
          <w:spacing w:val="15"/>
          <w:sz w:val="28"/>
          <w:szCs w:val="28"/>
        </w:rPr>
        <w:t>第五條</w:t>
      </w:r>
      <w:r w:rsidR="009C1362" w:rsidRPr="003C188D">
        <w:rPr>
          <w:rFonts w:ascii="標楷體" w:eastAsia="標楷體" w:hAnsi="標楷體" w:hint="eastAsia"/>
          <w:color w:val="0070C0"/>
          <w:spacing w:val="15"/>
          <w:sz w:val="28"/>
          <w:szCs w:val="28"/>
        </w:rPr>
        <w:tab/>
      </w:r>
      <w:r w:rsidR="009C1362" w:rsidRPr="003C188D">
        <w:rPr>
          <w:rFonts w:ascii="標楷體" w:eastAsia="標楷體" w:hAnsi="標楷體"/>
          <w:color w:val="0070C0"/>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依本辦法所檢附大陸地區製作之文書，應先經由行政院設立或指定之機構或委託之民間團體予以驗證。</w:t>
      </w:r>
    </w:p>
    <w:p w:rsidR="003D7B38" w:rsidRPr="00343674" w:rsidRDefault="006C2024" w:rsidP="000A1E58">
      <w:pPr>
        <w:spacing w:line="520" w:lineRule="exact"/>
        <w:ind w:left="931" w:hangingChars="300" w:hanging="931"/>
        <w:jc w:val="both"/>
        <w:rPr>
          <w:rFonts w:ascii="標楷體" w:eastAsia="標楷體" w:hAnsi="標楷體" w:cs="Times New Roman"/>
          <w:sz w:val="28"/>
          <w:szCs w:val="28"/>
        </w:rPr>
      </w:pPr>
      <w:r w:rsidRPr="009665F2">
        <w:rPr>
          <w:rFonts w:ascii="標楷體" w:eastAsia="標楷體" w:hAnsi="標楷體" w:hint="eastAsia"/>
          <w:b/>
          <w:color w:val="0070C0"/>
          <w:spacing w:val="15"/>
          <w:sz w:val="28"/>
          <w:szCs w:val="28"/>
        </w:rPr>
        <w:t>第六條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3D7B38" w:rsidRPr="00343674">
        <w:rPr>
          <w:rFonts w:ascii="標楷體" w:eastAsia="標楷體" w:hAnsi="標楷體" w:cs="Times New Roman" w:hint="eastAsia"/>
          <w:sz w:val="28"/>
          <w:szCs w:val="28"/>
        </w:rPr>
        <w:t>大陸地區人民申請取得、設定或移轉不動產物權，應填具申請書，並檢附下列文件，向該管直轄市或縣(市)政府申請審核：</w:t>
      </w:r>
    </w:p>
    <w:p w:rsidR="003D7B38" w:rsidRPr="00343674" w:rsidRDefault="003D7B38"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一、</w:t>
      </w:r>
      <w:r w:rsidRPr="00343674">
        <w:rPr>
          <w:rFonts w:ascii="標楷體" w:eastAsia="標楷體" w:hAnsi="標楷體" w:cs="Times New Roman" w:hint="eastAsia"/>
          <w:sz w:val="28"/>
          <w:szCs w:val="28"/>
        </w:rPr>
        <w:t>申請人大陸地區常住人口登記卡。</w:t>
      </w:r>
    </w:p>
    <w:p w:rsidR="003D7B38" w:rsidRPr="00343674" w:rsidRDefault="003D7B38"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二、</w:t>
      </w:r>
      <w:r w:rsidRPr="00343674">
        <w:rPr>
          <w:rFonts w:ascii="標楷體" w:eastAsia="標楷體" w:hAnsi="標楷體" w:cs="Times New Roman" w:hint="eastAsia"/>
          <w:sz w:val="28"/>
          <w:szCs w:val="28"/>
        </w:rPr>
        <w:t>依前條規定經驗證之證明文件。</w:t>
      </w:r>
    </w:p>
    <w:p w:rsidR="003D7B38" w:rsidRPr="00343674" w:rsidRDefault="003D7B38"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三、</w:t>
      </w:r>
      <w:r w:rsidRPr="00343674">
        <w:rPr>
          <w:rFonts w:ascii="標楷體" w:eastAsia="標楷體" w:hAnsi="標楷體" w:cs="Times New Roman" w:hint="eastAsia"/>
          <w:sz w:val="28"/>
          <w:szCs w:val="28"/>
        </w:rPr>
        <w:t>取得、設定或移轉契約書影本。</w:t>
      </w:r>
    </w:p>
    <w:p w:rsidR="003D7B38" w:rsidRPr="00343674" w:rsidRDefault="003D7B38" w:rsidP="000A1E58">
      <w:pPr>
        <w:spacing w:line="520" w:lineRule="exact"/>
        <w:ind w:leftChars="600" w:left="1440"/>
        <w:jc w:val="both"/>
        <w:rPr>
          <w:rFonts w:ascii="標楷體" w:eastAsia="標楷體" w:hAnsi="標楷體"/>
          <w:b/>
          <w:spacing w:val="15"/>
          <w:sz w:val="28"/>
          <w:szCs w:val="28"/>
        </w:rPr>
      </w:pPr>
      <w:r w:rsidRPr="00343674">
        <w:rPr>
          <w:rFonts w:ascii="標楷體" w:eastAsia="標楷體" w:hAnsi="標楷體" w:cs="新細明體" w:hint="eastAsia"/>
          <w:spacing w:val="15"/>
          <w:kern w:val="0"/>
          <w:sz w:val="28"/>
          <w:szCs w:val="28"/>
        </w:rPr>
        <w:t>四、</w:t>
      </w:r>
      <w:r w:rsidR="00FC24A3" w:rsidRPr="00343674">
        <w:rPr>
          <w:rFonts w:ascii="標楷體" w:eastAsia="標楷體" w:hAnsi="標楷體" w:cs="Times New Roman" w:hint="eastAsia"/>
          <w:sz w:val="28"/>
          <w:szCs w:val="28"/>
        </w:rPr>
        <w:t>其他經內政部規定應提出之文件。</w:t>
      </w:r>
    </w:p>
    <w:p w:rsidR="009C1362" w:rsidRDefault="006C2024" w:rsidP="000A1E58">
      <w:pPr>
        <w:spacing w:line="520" w:lineRule="exact"/>
        <w:ind w:left="931" w:hangingChars="300" w:hanging="931"/>
        <w:jc w:val="both"/>
        <w:rPr>
          <w:rFonts w:ascii="標楷體" w:eastAsia="標楷體" w:hAnsi="標楷體"/>
          <w:sz w:val="28"/>
          <w:szCs w:val="28"/>
        </w:rPr>
      </w:pPr>
      <w:r w:rsidRPr="0062317D">
        <w:rPr>
          <w:rFonts w:ascii="標楷體" w:eastAsia="標楷體" w:hAnsi="標楷體" w:hint="eastAsia"/>
          <w:b/>
          <w:color w:val="0070C0"/>
          <w:spacing w:val="15"/>
          <w:sz w:val="28"/>
          <w:szCs w:val="28"/>
        </w:rPr>
        <w:t>第七條</w:t>
      </w:r>
      <w:r w:rsidR="009C1362" w:rsidRPr="0062317D">
        <w:rPr>
          <w:rFonts w:ascii="標楷體" w:eastAsia="標楷體" w:hAnsi="標楷體" w:hint="eastAsia"/>
          <w:color w:val="0070C0"/>
          <w:spacing w:val="15"/>
          <w:sz w:val="28"/>
          <w:szCs w:val="28"/>
        </w:rPr>
        <w:tab/>
      </w:r>
      <w:r w:rsidR="009C1362" w:rsidRPr="0062317D">
        <w:rPr>
          <w:rFonts w:ascii="標楷體" w:eastAsia="標楷體" w:hAnsi="標楷體"/>
          <w:color w:val="0070C0"/>
          <w:spacing w:val="15"/>
          <w:sz w:val="28"/>
          <w:szCs w:val="28"/>
        </w:rPr>
        <w:tab/>
      </w:r>
      <w:r w:rsidR="009C1362">
        <w:rPr>
          <w:rFonts w:ascii="標楷體" w:eastAsia="標楷體" w:hAnsi="標楷體"/>
          <w:spacing w:val="15"/>
          <w:sz w:val="28"/>
          <w:szCs w:val="28"/>
        </w:rPr>
        <w:tab/>
      </w:r>
      <w:r w:rsidR="00FC24A3" w:rsidRPr="00343674">
        <w:rPr>
          <w:rFonts w:ascii="標楷體" w:eastAsia="標楷體" w:hAnsi="標楷體"/>
          <w:sz w:val="28"/>
          <w:szCs w:val="28"/>
        </w:rPr>
        <w:t>大陸地區人民</w:t>
      </w:r>
      <w:r w:rsidR="00EE5DAD">
        <w:rPr>
          <w:rFonts w:ascii="標楷體" w:eastAsia="標楷體" w:hAnsi="標楷體" w:hint="eastAsia"/>
          <w:sz w:val="28"/>
          <w:szCs w:val="28"/>
        </w:rPr>
        <w:t>取得之不動產所有權或地上權，限已登記並供住宅用，且每人</w:t>
      </w:r>
      <w:r w:rsidR="00FC24A3" w:rsidRPr="00343674">
        <w:rPr>
          <w:rFonts w:ascii="標楷體" w:eastAsia="標楷體" w:hAnsi="標楷體" w:hint="eastAsia"/>
          <w:sz w:val="28"/>
          <w:szCs w:val="28"/>
        </w:rPr>
        <w:t>限單獨</w:t>
      </w:r>
      <w:r w:rsidR="00FC24A3" w:rsidRPr="00343674">
        <w:rPr>
          <w:rFonts w:ascii="標楷體" w:eastAsia="標楷體" w:hAnsi="標楷體"/>
          <w:sz w:val="28"/>
          <w:szCs w:val="28"/>
        </w:rPr>
        <w:t>取得</w:t>
      </w:r>
      <w:r w:rsidR="00FC24A3" w:rsidRPr="00343674">
        <w:rPr>
          <w:rFonts w:ascii="標楷體" w:eastAsia="標楷體" w:hAnsi="標楷體" w:hint="eastAsia"/>
          <w:sz w:val="28"/>
          <w:szCs w:val="28"/>
        </w:rPr>
        <w:t>一戶，並不得出租或供非住宅之用。</w:t>
      </w:r>
    </w:p>
    <w:p w:rsidR="00FC24A3" w:rsidRPr="009C1362" w:rsidRDefault="00AA656D" w:rsidP="000A1E58">
      <w:pPr>
        <w:spacing w:line="520" w:lineRule="exact"/>
        <w:ind w:left="931" w:firstLine="480"/>
        <w:jc w:val="both"/>
        <w:rPr>
          <w:rFonts w:ascii="標楷體" w:eastAsia="標楷體" w:hAnsi="標楷體"/>
          <w:sz w:val="28"/>
          <w:szCs w:val="28"/>
        </w:rPr>
      </w:pPr>
      <w:r w:rsidRPr="00EE5DAD">
        <w:rPr>
          <w:rFonts w:ascii="標楷體" w:eastAsia="標楷體" w:hAnsi="標楷體" w:cs="Times New Roman"/>
          <w:sz w:val="28"/>
          <w:szCs w:val="28"/>
        </w:rPr>
        <w:t>取得</w:t>
      </w:r>
      <w:r w:rsidRPr="00EE5DAD">
        <w:rPr>
          <w:rFonts w:ascii="標楷體" w:eastAsia="標楷體" w:hAnsi="標楷體" w:cs="Times New Roman" w:hint="eastAsia"/>
          <w:sz w:val="28"/>
          <w:szCs w:val="28"/>
        </w:rPr>
        <w:t>前項</w:t>
      </w:r>
      <w:r w:rsidRPr="00EE5DAD">
        <w:rPr>
          <w:rFonts w:ascii="標楷體" w:eastAsia="標楷體" w:hAnsi="標楷體" w:cs="Times New Roman"/>
          <w:sz w:val="28"/>
          <w:szCs w:val="28"/>
        </w:rPr>
        <w:t>供住宅用不動產</w:t>
      </w:r>
      <w:r w:rsidRPr="00EE5DAD">
        <w:rPr>
          <w:rFonts w:ascii="標楷體" w:eastAsia="標楷體" w:hAnsi="標楷體" w:cs="Times New Roman" w:hint="eastAsia"/>
          <w:sz w:val="28"/>
          <w:szCs w:val="28"/>
        </w:rPr>
        <w:t>所有權或地上權</w:t>
      </w:r>
      <w:r w:rsidRPr="00EE5DAD">
        <w:rPr>
          <w:rFonts w:ascii="標楷體" w:eastAsia="標楷體" w:hAnsi="標楷體" w:cs="Times New Roman"/>
          <w:sz w:val="28"/>
          <w:szCs w:val="28"/>
        </w:rPr>
        <w:t>，於登記完畢後</w:t>
      </w:r>
      <w:r w:rsidRPr="00EE5DAD">
        <w:rPr>
          <w:rFonts w:ascii="標楷體" w:eastAsia="標楷體" w:hAnsi="標楷體" w:cs="Times New Roman" w:hint="eastAsia"/>
          <w:sz w:val="28"/>
          <w:szCs w:val="28"/>
        </w:rPr>
        <w:t>三</w:t>
      </w:r>
      <w:r w:rsidRPr="00EE5DAD">
        <w:rPr>
          <w:rFonts w:ascii="標楷體" w:eastAsia="標楷體" w:hAnsi="標楷體" w:cs="Times New Roman"/>
          <w:sz w:val="28"/>
          <w:szCs w:val="28"/>
        </w:rPr>
        <w:t>年</w:t>
      </w:r>
      <w:r w:rsidRPr="00EE5DAD">
        <w:rPr>
          <w:rFonts w:ascii="標楷體" w:eastAsia="標楷體" w:hAnsi="標楷體" w:cs="Times New Roman" w:hint="eastAsia"/>
          <w:sz w:val="28"/>
          <w:szCs w:val="28"/>
        </w:rPr>
        <w:t>內不得移轉或辦理不動產所有權或地上權移轉之預告登記</w:t>
      </w:r>
      <w:r w:rsidRPr="00EE5DAD">
        <w:rPr>
          <w:rFonts w:ascii="標楷體" w:eastAsia="標楷體" w:hAnsi="標楷體" w:cs="Times New Roman"/>
          <w:sz w:val="28"/>
          <w:szCs w:val="28"/>
        </w:rPr>
        <w:t>。但因繼承、強制執行、徵收</w:t>
      </w:r>
      <w:r w:rsidRPr="00EE5DAD">
        <w:rPr>
          <w:rFonts w:ascii="標楷體" w:eastAsia="標楷體" w:hAnsi="標楷體" w:cs="Times New Roman" w:hint="eastAsia"/>
          <w:sz w:val="28"/>
          <w:szCs w:val="28"/>
        </w:rPr>
        <w:t>、</w:t>
      </w:r>
      <w:r w:rsidRPr="00EE5DAD">
        <w:rPr>
          <w:rFonts w:ascii="標楷體" w:eastAsia="標楷體" w:hAnsi="標楷體" w:cs="Times New Roman"/>
          <w:sz w:val="28"/>
          <w:szCs w:val="28"/>
        </w:rPr>
        <w:t>法院判決</w:t>
      </w:r>
      <w:r w:rsidRPr="00EE5DAD">
        <w:rPr>
          <w:rFonts w:ascii="標楷體" w:eastAsia="標楷體" w:hAnsi="標楷體" w:cs="Times New Roman" w:hint="eastAsia"/>
          <w:sz w:val="28"/>
          <w:szCs w:val="28"/>
        </w:rPr>
        <w:t>或依第十七條規定</w:t>
      </w:r>
      <w:r w:rsidRPr="00EE5DAD">
        <w:rPr>
          <w:rFonts w:ascii="標楷體" w:eastAsia="標楷體" w:hAnsi="標楷體" w:cs="Times New Roman"/>
          <w:sz w:val="28"/>
          <w:szCs w:val="28"/>
        </w:rPr>
        <w:t>而移轉者，</w:t>
      </w:r>
      <w:r w:rsidRPr="00EE5DAD">
        <w:rPr>
          <w:rFonts w:ascii="標楷體" w:eastAsia="標楷體" w:hAnsi="標楷體" w:cs="Times New Roman" w:hint="eastAsia"/>
          <w:sz w:val="28"/>
          <w:szCs w:val="28"/>
        </w:rPr>
        <w:t>不在此限</w:t>
      </w:r>
      <w:r w:rsidRPr="00EE5DAD">
        <w:rPr>
          <w:rFonts w:ascii="標楷體" w:eastAsia="標楷體" w:hAnsi="標楷體" w:cs="Times New Roman"/>
          <w:sz w:val="28"/>
          <w:szCs w:val="28"/>
        </w:rPr>
        <w:t>。</w:t>
      </w:r>
    </w:p>
    <w:p w:rsidR="006C2024" w:rsidRPr="00343674" w:rsidRDefault="006C2024" w:rsidP="000A1E58">
      <w:pPr>
        <w:spacing w:line="520" w:lineRule="exact"/>
        <w:ind w:left="931" w:hangingChars="300" w:hanging="931"/>
        <w:jc w:val="both"/>
        <w:rPr>
          <w:rFonts w:ascii="標楷體" w:eastAsia="標楷體" w:hAnsi="標楷體" w:cs="Times New Roman"/>
          <w:sz w:val="28"/>
          <w:szCs w:val="28"/>
        </w:rPr>
      </w:pPr>
      <w:r w:rsidRPr="0062317D">
        <w:rPr>
          <w:rFonts w:ascii="標楷體" w:eastAsia="標楷體" w:hAnsi="標楷體" w:hint="eastAsia"/>
          <w:b/>
          <w:color w:val="0070C0"/>
          <w:spacing w:val="15"/>
          <w:sz w:val="28"/>
          <w:szCs w:val="28"/>
        </w:rPr>
        <w:t>第八條</w:t>
      </w:r>
      <w:r w:rsidR="009C1362">
        <w:rPr>
          <w:rFonts w:ascii="標楷體" w:eastAsia="標楷體" w:hAnsi="標楷體" w:hint="eastAsia"/>
          <w:spacing w:val="15"/>
          <w:sz w:val="28"/>
          <w:szCs w:val="28"/>
        </w:rPr>
        <w:tab/>
      </w:r>
      <w:r w:rsidR="009C1362">
        <w:rPr>
          <w:rFonts w:ascii="標楷體" w:eastAsia="標楷體" w:hAnsi="標楷體"/>
          <w:spacing w:val="15"/>
          <w:sz w:val="28"/>
          <w:szCs w:val="28"/>
        </w:rPr>
        <w:tab/>
      </w:r>
      <w:r w:rsidR="009C1362">
        <w:rPr>
          <w:rFonts w:ascii="標楷體" w:eastAsia="標楷體" w:hAnsi="標楷體"/>
          <w:spacing w:val="15"/>
          <w:sz w:val="28"/>
          <w:szCs w:val="28"/>
        </w:rPr>
        <w:tab/>
      </w:r>
      <w:r w:rsidR="00AA656D" w:rsidRPr="00343674">
        <w:rPr>
          <w:rFonts w:ascii="標楷體" w:eastAsia="標楷體" w:hAnsi="標楷體" w:cs="Times New Roman" w:hint="eastAsia"/>
          <w:sz w:val="28"/>
          <w:szCs w:val="28"/>
        </w:rPr>
        <w:t>大陸地區法人、團體或其他機構，或陸資公司，為供下列需要，得申請取得、設定或移轉已登記之不動產物權：</w:t>
      </w:r>
    </w:p>
    <w:p w:rsidR="00AA656D" w:rsidRPr="00343674" w:rsidRDefault="00AA656D" w:rsidP="000A1E58">
      <w:pPr>
        <w:spacing w:line="520" w:lineRule="exact"/>
        <w:ind w:leftChars="600" w:left="144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一、</w:t>
      </w:r>
      <w:r w:rsidRPr="00343674">
        <w:rPr>
          <w:rFonts w:ascii="標楷體" w:eastAsia="標楷體" w:hAnsi="標楷體" w:cs="Times New Roman" w:hint="eastAsia"/>
          <w:sz w:val="28"/>
          <w:szCs w:val="28"/>
        </w:rPr>
        <w:t>業務人員居住之住宅。</w:t>
      </w:r>
    </w:p>
    <w:p w:rsidR="00AA656D" w:rsidRPr="00343674" w:rsidRDefault="00AA656D"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二、</w:t>
      </w:r>
      <w:r w:rsidRPr="00343674">
        <w:rPr>
          <w:rFonts w:ascii="標楷體" w:eastAsia="標楷體" w:hAnsi="標楷體" w:cs="Times New Roman" w:hint="eastAsia"/>
          <w:sz w:val="28"/>
          <w:szCs w:val="28"/>
        </w:rPr>
        <w:t>從事工商業務經營之廠房、營業處所或辦公場所。</w:t>
      </w:r>
    </w:p>
    <w:p w:rsidR="00AA656D" w:rsidRPr="00343674" w:rsidRDefault="00AA656D" w:rsidP="000A1E58">
      <w:pPr>
        <w:spacing w:line="520" w:lineRule="exact"/>
        <w:ind w:leftChars="600" w:left="1440"/>
        <w:jc w:val="both"/>
        <w:rPr>
          <w:rFonts w:ascii="標楷體" w:eastAsia="標楷體" w:hAnsi="標楷體" w:cs="新細明體"/>
          <w:spacing w:val="15"/>
          <w:kern w:val="0"/>
          <w:sz w:val="28"/>
          <w:szCs w:val="28"/>
        </w:rPr>
      </w:pPr>
      <w:r w:rsidRPr="00343674">
        <w:rPr>
          <w:rFonts w:ascii="標楷體" w:eastAsia="標楷體" w:hAnsi="標楷體" w:cs="新細明體" w:hint="eastAsia"/>
          <w:spacing w:val="15"/>
          <w:kern w:val="0"/>
          <w:sz w:val="28"/>
          <w:szCs w:val="28"/>
        </w:rPr>
        <w:t>三、</w:t>
      </w:r>
      <w:r w:rsidR="00EE5DAD">
        <w:rPr>
          <w:rFonts w:ascii="標楷體" w:eastAsia="標楷體" w:hAnsi="標楷體" w:cs="Times New Roman" w:hint="eastAsia"/>
          <w:sz w:val="28"/>
          <w:szCs w:val="28"/>
        </w:rPr>
        <w:t>大陸地區在臺金融機構</w:t>
      </w:r>
      <w:r w:rsidRPr="00343674">
        <w:rPr>
          <w:rFonts w:ascii="標楷體" w:eastAsia="標楷體" w:hAnsi="標楷體" w:cs="Times New Roman" w:hint="eastAsia"/>
          <w:sz w:val="28"/>
          <w:szCs w:val="28"/>
        </w:rPr>
        <w:t>辦理授信業務。</w:t>
      </w:r>
    </w:p>
    <w:p w:rsidR="00AA656D" w:rsidRPr="00343674" w:rsidRDefault="009C1362" w:rsidP="000A1E58">
      <w:pPr>
        <w:pStyle w:val="HTML"/>
        <w:tabs>
          <w:tab w:val="clear" w:pos="916"/>
          <w:tab w:val="clear" w:pos="1832"/>
          <w:tab w:val="clear" w:pos="2748"/>
          <w:tab w:val="clear" w:pos="3664"/>
          <w:tab w:val="left" w:pos="2468"/>
        </w:tabs>
        <w:spacing w:line="520" w:lineRule="exact"/>
        <w:ind w:left="960"/>
        <w:jc w:val="both"/>
        <w:rPr>
          <w:rFonts w:ascii="標楷體" w:eastAsia="標楷體" w:hAnsi="標楷體" w:cs="Times New Roman"/>
          <w:kern w:val="2"/>
          <w:sz w:val="28"/>
          <w:szCs w:val="28"/>
        </w:rPr>
      </w:pPr>
      <w:r>
        <w:rPr>
          <w:rFonts w:ascii="標楷體" w:eastAsia="標楷體" w:hAnsi="標楷體" w:cs="Times New Roman" w:hint="eastAsia"/>
          <w:kern w:val="2"/>
          <w:sz w:val="28"/>
          <w:szCs w:val="28"/>
        </w:rPr>
        <w:lastRenderedPageBreak/>
        <w:t xml:space="preserve">    </w:t>
      </w:r>
      <w:r w:rsidR="00AA656D" w:rsidRPr="00343674">
        <w:rPr>
          <w:rFonts w:ascii="標楷體" w:eastAsia="標楷體" w:hAnsi="標楷體" w:cs="Times New Roman" w:hint="eastAsia"/>
          <w:kern w:val="2"/>
          <w:sz w:val="28"/>
          <w:szCs w:val="28"/>
        </w:rPr>
        <w:t>依前項規定申請取得、設定或移轉不動產物權者，應填具申請書，並檢附下列文件，向該管直轄巿或縣（巿）政府申請審核：</w:t>
      </w:r>
    </w:p>
    <w:p w:rsidR="00AA656D" w:rsidRPr="00343674" w:rsidRDefault="00AA656D" w:rsidP="000A1E58">
      <w:pPr>
        <w:spacing w:line="520" w:lineRule="exact"/>
        <w:ind w:leftChars="650" w:left="156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一、</w:t>
      </w:r>
      <w:r w:rsidRPr="00343674">
        <w:rPr>
          <w:rFonts w:ascii="標楷體" w:eastAsia="標楷體" w:hAnsi="標楷體" w:cs="Times New Roman" w:hint="eastAsia"/>
          <w:sz w:val="28"/>
          <w:szCs w:val="28"/>
        </w:rPr>
        <w:t>第四條第二款或第三款規定之資格證明文件。</w:t>
      </w:r>
    </w:p>
    <w:p w:rsidR="00AA656D" w:rsidRPr="00343674" w:rsidRDefault="00AA656D" w:rsidP="000A1E58">
      <w:pPr>
        <w:spacing w:line="520" w:lineRule="exact"/>
        <w:ind w:leftChars="650" w:left="156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二、</w:t>
      </w:r>
      <w:r w:rsidRPr="00343674">
        <w:rPr>
          <w:rFonts w:ascii="標楷體" w:eastAsia="標楷體" w:hAnsi="標楷體" w:cs="Times New Roman" w:hint="eastAsia"/>
          <w:sz w:val="28"/>
          <w:szCs w:val="28"/>
        </w:rPr>
        <w:t>依第五條規定經驗證之證明文件。</w:t>
      </w:r>
    </w:p>
    <w:p w:rsidR="00AA656D" w:rsidRPr="00343674" w:rsidRDefault="00AA656D" w:rsidP="000A1E58">
      <w:pPr>
        <w:spacing w:line="520" w:lineRule="exact"/>
        <w:ind w:leftChars="650" w:left="1560"/>
        <w:jc w:val="both"/>
        <w:rPr>
          <w:rFonts w:ascii="標楷體" w:eastAsia="標楷體" w:hAnsi="標楷體" w:cs="Times New Roman"/>
          <w:sz w:val="28"/>
          <w:szCs w:val="28"/>
        </w:rPr>
      </w:pPr>
      <w:r w:rsidRPr="00343674">
        <w:rPr>
          <w:rFonts w:ascii="標楷體" w:eastAsia="標楷體" w:hAnsi="標楷體" w:cs="新細明體" w:hint="eastAsia"/>
          <w:spacing w:val="15"/>
          <w:kern w:val="0"/>
          <w:sz w:val="28"/>
          <w:szCs w:val="28"/>
        </w:rPr>
        <w:t>三、</w:t>
      </w:r>
      <w:r w:rsidRPr="00343674">
        <w:rPr>
          <w:rFonts w:ascii="標楷體" w:eastAsia="標楷體" w:hAnsi="標楷體" w:cs="Times New Roman" w:hint="eastAsia"/>
          <w:sz w:val="28"/>
          <w:szCs w:val="28"/>
        </w:rPr>
        <w:t>取得、設定或移轉契約書影本。</w:t>
      </w:r>
    </w:p>
    <w:p w:rsidR="00AA656D" w:rsidRPr="00343674" w:rsidRDefault="00AA656D" w:rsidP="000A1E58">
      <w:pPr>
        <w:spacing w:line="520" w:lineRule="exact"/>
        <w:ind w:leftChars="650" w:left="1560"/>
        <w:jc w:val="both"/>
        <w:rPr>
          <w:rFonts w:ascii="標楷體" w:eastAsia="標楷體" w:hAnsi="標楷體"/>
          <w:spacing w:val="15"/>
          <w:sz w:val="28"/>
          <w:szCs w:val="28"/>
        </w:rPr>
      </w:pPr>
      <w:r w:rsidRPr="00343674">
        <w:rPr>
          <w:rFonts w:ascii="標楷體" w:eastAsia="標楷體" w:hAnsi="標楷體" w:cs="新細明體" w:hint="eastAsia"/>
          <w:spacing w:val="15"/>
          <w:kern w:val="0"/>
          <w:sz w:val="28"/>
          <w:szCs w:val="28"/>
        </w:rPr>
        <w:t>四、</w:t>
      </w:r>
      <w:r w:rsidRPr="00343674">
        <w:rPr>
          <w:rFonts w:ascii="標楷體" w:eastAsia="標楷體" w:hAnsi="標楷體" w:cs="Times New Roman" w:hint="eastAsia"/>
          <w:sz w:val="28"/>
          <w:szCs w:val="28"/>
        </w:rPr>
        <w:t>其他經內政部規定應提出之文件。</w:t>
      </w:r>
    </w:p>
    <w:p w:rsidR="00AA656D" w:rsidRPr="00E613E2" w:rsidRDefault="006C2024" w:rsidP="000A1E58">
      <w:pPr>
        <w:spacing w:line="520" w:lineRule="exact"/>
        <w:ind w:left="931" w:hangingChars="300" w:hanging="931"/>
        <w:jc w:val="both"/>
        <w:rPr>
          <w:rFonts w:ascii="標楷體" w:eastAsia="標楷體" w:hAnsi="標楷體"/>
          <w:color w:val="0070C0"/>
          <w:sz w:val="28"/>
          <w:szCs w:val="28"/>
        </w:rPr>
      </w:pPr>
      <w:r w:rsidRPr="00E613E2">
        <w:rPr>
          <w:rFonts w:ascii="標楷體" w:eastAsia="標楷體" w:hAnsi="標楷體" w:hint="eastAsia"/>
          <w:b/>
          <w:color w:val="0070C0"/>
          <w:spacing w:val="15"/>
          <w:sz w:val="28"/>
          <w:szCs w:val="28"/>
        </w:rPr>
        <w:t>第九條</w:t>
      </w:r>
      <w:r w:rsidRPr="00343674">
        <w:rPr>
          <w:rFonts w:ascii="標楷體" w:eastAsia="標楷體" w:hAnsi="標楷體" w:hint="eastAsia"/>
          <w:spacing w:val="15"/>
          <w:sz w:val="28"/>
          <w:szCs w:val="28"/>
        </w:rPr>
        <w:t xml:space="preserve">　</w:t>
      </w:r>
      <w:r w:rsidR="00343674">
        <w:rPr>
          <w:rFonts w:ascii="標楷體" w:eastAsia="標楷體" w:hAnsi="標楷體" w:hint="eastAsia"/>
          <w:spacing w:val="15"/>
          <w:sz w:val="28"/>
          <w:szCs w:val="28"/>
        </w:rPr>
        <w:t xml:space="preserve"> </w:t>
      </w:r>
      <w:r w:rsidR="00AA656D" w:rsidRPr="00E613E2">
        <w:rPr>
          <w:rFonts w:ascii="標楷體" w:eastAsia="標楷體" w:hAnsi="標楷體" w:hint="eastAsia"/>
          <w:color w:val="0070C0"/>
          <w:sz w:val="28"/>
          <w:szCs w:val="28"/>
        </w:rPr>
        <w:t>大陸地區法人、團體或其他機構，或陸資公司，從事有助於臺灣地區整體經濟或農牧經營之投資，經中央目的事業主管機關同意後，得申請取得、設定或移轉不動產物權。</w:t>
      </w:r>
    </w:p>
    <w:p w:rsidR="00B900B9" w:rsidRPr="00E613E2" w:rsidRDefault="00AA656D" w:rsidP="000A1E58">
      <w:pPr>
        <w:spacing w:line="520" w:lineRule="exact"/>
        <w:ind w:leftChars="350" w:left="840" w:firstLineChars="206" w:firstLine="577"/>
        <w:jc w:val="both"/>
        <w:rPr>
          <w:rFonts w:ascii="標楷體" w:eastAsia="標楷體" w:hAnsi="標楷體"/>
          <w:color w:val="0070C0"/>
          <w:sz w:val="28"/>
          <w:szCs w:val="28"/>
        </w:rPr>
      </w:pPr>
      <w:r w:rsidRPr="00E613E2">
        <w:rPr>
          <w:rFonts w:ascii="標楷體" w:eastAsia="標楷體" w:hAnsi="標楷體" w:hint="eastAsia"/>
          <w:color w:val="0070C0"/>
          <w:sz w:val="28"/>
          <w:szCs w:val="28"/>
        </w:rPr>
        <w:t>依前項規定申請取得、設定或移轉不動產物權者，應填具申請書，並檢附下列文件，向該管直轄巿或縣（巿）政府申請審核：</w:t>
      </w:r>
    </w:p>
    <w:p w:rsidR="00B900B9" w:rsidRPr="00E613E2" w:rsidRDefault="00AA656D" w:rsidP="000A1E58">
      <w:pPr>
        <w:spacing w:line="520" w:lineRule="exact"/>
        <w:ind w:left="937" w:firstLine="480"/>
        <w:jc w:val="both"/>
        <w:rPr>
          <w:rFonts w:ascii="標楷體" w:eastAsia="標楷體" w:hAnsi="標楷體" w:cs="Times New Roman"/>
          <w:color w:val="0070C0"/>
          <w:sz w:val="28"/>
          <w:szCs w:val="28"/>
        </w:rPr>
      </w:pPr>
      <w:r w:rsidRPr="00E613E2">
        <w:rPr>
          <w:rFonts w:ascii="標楷體" w:eastAsia="標楷體" w:hAnsi="標楷體" w:cs="新細明體" w:hint="eastAsia"/>
          <w:color w:val="0070C0"/>
          <w:spacing w:val="15"/>
          <w:sz w:val="28"/>
          <w:szCs w:val="28"/>
        </w:rPr>
        <w:t>一、</w:t>
      </w:r>
      <w:r w:rsidR="00B900B9" w:rsidRPr="00E613E2">
        <w:rPr>
          <w:rFonts w:ascii="標楷體" w:eastAsia="標楷體" w:hAnsi="標楷體" w:cs="Times New Roman" w:hint="eastAsia"/>
          <w:color w:val="0070C0"/>
          <w:sz w:val="28"/>
          <w:szCs w:val="28"/>
        </w:rPr>
        <w:t>第四條第二款或第三款規定之資格證明文件。</w:t>
      </w:r>
    </w:p>
    <w:p w:rsidR="00AA656D"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二、依第五條規定經驗證之證明文件。</w:t>
      </w:r>
    </w:p>
    <w:p w:rsidR="00AA656D"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三、中央目的事業主管機關同意之文件。</w:t>
      </w:r>
    </w:p>
    <w:p w:rsidR="00AA656D"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四、取得、設定或移轉契約書影本。</w:t>
      </w:r>
    </w:p>
    <w:p w:rsidR="00AA656D"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五、其他經內政部規定應提出之文件。</w:t>
      </w:r>
    </w:p>
    <w:p w:rsidR="00AA656D" w:rsidRPr="00E613E2" w:rsidRDefault="00AA656D" w:rsidP="000A1E58">
      <w:pPr>
        <w:spacing w:line="520" w:lineRule="exact"/>
        <w:ind w:leftChars="350" w:left="840" w:firstLineChars="206" w:firstLine="577"/>
        <w:jc w:val="both"/>
        <w:rPr>
          <w:rFonts w:ascii="標楷體" w:eastAsia="標楷體" w:hAnsi="標楷體"/>
          <w:color w:val="0070C0"/>
          <w:sz w:val="28"/>
          <w:szCs w:val="28"/>
        </w:rPr>
      </w:pPr>
      <w:r w:rsidRPr="00E613E2">
        <w:rPr>
          <w:rFonts w:ascii="標楷體" w:eastAsia="標楷體" w:hAnsi="標楷體" w:hint="eastAsia"/>
          <w:color w:val="0070C0"/>
          <w:sz w:val="28"/>
          <w:szCs w:val="28"/>
        </w:rPr>
        <w:t>第一項所稱整體經濟之投資，指下列各款開發或經營：</w:t>
      </w:r>
    </w:p>
    <w:p w:rsidR="00AA656D"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一、觀光旅館、觀光遊樂設施及體育場館。</w:t>
      </w:r>
    </w:p>
    <w:p w:rsidR="00B900B9"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二、住宅及大樓。</w:t>
      </w:r>
    </w:p>
    <w:p w:rsidR="00B900B9"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三、工業廠房。</w:t>
      </w:r>
    </w:p>
    <w:p w:rsidR="00AA656D" w:rsidRPr="00E613E2" w:rsidRDefault="00AA656D" w:rsidP="000A1E58">
      <w:pPr>
        <w:spacing w:line="520" w:lineRule="exact"/>
        <w:ind w:left="937" w:firstLine="480"/>
        <w:jc w:val="both"/>
        <w:rPr>
          <w:rFonts w:ascii="標楷體" w:eastAsia="標楷體" w:hAnsi="標楷體" w:cs="新細明體"/>
          <w:color w:val="0070C0"/>
          <w:spacing w:val="15"/>
          <w:sz w:val="28"/>
          <w:szCs w:val="28"/>
        </w:rPr>
      </w:pPr>
      <w:r w:rsidRPr="00E613E2">
        <w:rPr>
          <w:rFonts w:ascii="標楷體" w:eastAsia="標楷體" w:hAnsi="標楷體" w:cs="新細明體" w:hint="eastAsia"/>
          <w:color w:val="0070C0"/>
          <w:spacing w:val="15"/>
          <w:sz w:val="28"/>
          <w:szCs w:val="28"/>
        </w:rPr>
        <w:t>四、工業區及工商綜合區。</w:t>
      </w:r>
    </w:p>
    <w:p w:rsidR="00AA656D" w:rsidRPr="00E613E2" w:rsidRDefault="00AA656D" w:rsidP="000A1E58">
      <w:pPr>
        <w:spacing w:line="520" w:lineRule="exact"/>
        <w:ind w:left="937" w:firstLine="480"/>
        <w:jc w:val="both"/>
        <w:rPr>
          <w:rFonts w:ascii="標楷體" w:eastAsia="標楷體" w:hAnsi="標楷體" w:cs="新細明體"/>
          <w:color w:val="0070C0"/>
          <w:spacing w:val="15"/>
          <w:kern w:val="0"/>
          <w:sz w:val="28"/>
          <w:szCs w:val="28"/>
        </w:rPr>
      </w:pPr>
      <w:r w:rsidRPr="00E613E2">
        <w:rPr>
          <w:rFonts w:ascii="標楷體" w:eastAsia="標楷體" w:hAnsi="標楷體" w:cs="新細明體" w:hint="eastAsia"/>
          <w:color w:val="0070C0"/>
          <w:spacing w:val="15"/>
          <w:sz w:val="28"/>
          <w:szCs w:val="28"/>
        </w:rPr>
        <w:t>五、其他經中央目的事業主管機關公告投資項目</w:t>
      </w:r>
      <w:r w:rsidRPr="00E613E2">
        <w:rPr>
          <w:rFonts w:ascii="標楷體" w:eastAsia="標楷體" w:hAnsi="標楷體" w:cs="新細明體" w:hint="eastAsia"/>
          <w:color w:val="0070C0"/>
          <w:spacing w:val="15"/>
          <w:kern w:val="0"/>
          <w:sz w:val="28"/>
          <w:szCs w:val="28"/>
        </w:rPr>
        <w:t>。</w:t>
      </w:r>
    </w:p>
    <w:p w:rsidR="006C2024" w:rsidRPr="00E613E2" w:rsidRDefault="00AA656D" w:rsidP="000A1E58">
      <w:pPr>
        <w:spacing w:line="520" w:lineRule="exact"/>
        <w:ind w:leftChars="350" w:left="840" w:firstLineChars="206" w:firstLine="577"/>
        <w:jc w:val="both"/>
        <w:rPr>
          <w:rFonts w:ascii="標楷體" w:eastAsia="標楷體" w:hAnsi="標楷體"/>
          <w:color w:val="0070C0"/>
          <w:spacing w:val="15"/>
          <w:sz w:val="28"/>
          <w:szCs w:val="28"/>
        </w:rPr>
      </w:pPr>
      <w:r w:rsidRPr="00E613E2">
        <w:rPr>
          <w:rFonts w:ascii="標楷體" w:eastAsia="標楷體" w:hAnsi="標楷體" w:hint="eastAsia"/>
          <w:color w:val="0070C0"/>
          <w:sz w:val="28"/>
          <w:szCs w:val="28"/>
        </w:rPr>
        <w:t>第一項所稱農牧經營之投資，指符合行政院農業委員會公告之農業技術密集或資本密集類目標準之經營或利用。</w:t>
      </w:r>
    </w:p>
    <w:p w:rsidR="00AA656D" w:rsidRPr="00343674" w:rsidRDefault="00B900B9" w:rsidP="000A1E58">
      <w:pPr>
        <w:spacing w:line="520" w:lineRule="exact"/>
        <w:ind w:left="931" w:hangingChars="300" w:hanging="931"/>
        <w:jc w:val="both"/>
        <w:rPr>
          <w:rFonts w:ascii="標楷體" w:eastAsia="標楷體" w:hAnsi="標楷體"/>
          <w:sz w:val="28"/>
          <w:szCs w:val="28"/>
        </w:rPr>
      </w:pPr>
      <w:r w:rsidRPr="00E31740">
        <w:rPr>
          <w:rFonts w:ascii="標楷體" w:eastAsia="標楷體" w:hAnsi="標楷體" w:hint="eastAsia"/>
          <w:b/>
          <w:color w:val="0070C0"/>
          <w:spacing w:val="15"/>
          <w:sz w:val="28"/>
          <w:szCs w:val="28"/>
        </w:rPr>
        <w:lastRenderedPageBreak/>
        <w:t>第十條</w:t>
      </w:r>
      <w:r>
        <w:rPr>
          <w:rFonts w:ascii="標楷體" w:eastAsia="標楷體" w:hAnsi="標楷體" w:hint="eastAsia"/>
          <w:b/>
          <w:spacing w:val="15"/>
          <w:sz w:val="28"/>
          <w:szCs w:val="28"/>
        </w:rPr>
        <w:tab/>
      </w:r>
      <w:r>
        <w:rPr>
          <w:rFonts w:ascii="標楷體" w:eastAsia="標楷體" w:hAnsi="標楷體"/>
          <w:b/>
          <w:spacing w:val="15"/>
          <w:sz w:val="28"/>
          <w:szCs w:val="28"/>
        </w:rPr>
        <w:tab/>
      </w:r>
      <w:r>
        <w:rPr>
          <w:rFonts w:ascii="標楷體" w:eastAsia="標楷體" w:hAnsi="標楷體"/>
          <w:b/>
          <w:spacing w:val="15"/>
          <w:sz w:val="28"/>
          <w:szCs w:val="28"/>
        </w:rPr>
        <w:tab/>
      </w:r>
      <w:r w:rsidR="00AA656D" w:rsidRPr="00343674">
        <w:rPr>
          <w:rFonts w:ascii="標楷體" w:eastAsia="標楷體" w:hAnsi="標楷體" w:cs="Times New Roman" w:hint="eastAsia"/>
          <w:sz w:val="28"/>
          <w:szCs w:val="28"/>
        </w:rPr>
        <w:t>大陸地區人民來臺投資許可辦法之投資人，從事該辦法之投資行為，應依該辦法之規定，經經濟部許可後，始得申請取得、設定或移轉不動產物權</w:t>
      </w:r>
      <w:r w:rsidR="00AA656D" w:rsidRPr="00343674">
        <w:rPr>
          <w:rFonts w:ascii="標楷體" w:eastAsia="標楷體" w:hAnsi="標楷體" w:hint="eastAsia"/>
          <w:sz w:val="28"/>
          <w:szCs w:val="28"/>
        </w:rPr>
        <w:t>。</w:t>
      </w:r>
    </w:p>
    <w:p w:rsidR="002F1F85" w:rsidRPr="003137E0" w:rsidRDefault="00B900B9" w:rsidP="000A1E58">
      <w:pPr>
        <w:spacing w:line="520" w:lineRule="exact"/>
        <w:ind w:left="1275" w:hangingChars="411" w:hanging="1275"/>
        <w:jc w:val="both"/>
        <w:rPr>
          <w:rFonts w:ascii="標楷體" w:eastAsia="標楷體" w:hAnsi="標楷體"/>
          <w:color w:val="0070C0"/>
          <w:sz w:val="28"/>
          <w:szCs w:val="28"/>
        </w:rPr>
      </w:pPr>
      <w:r w:rsidRPr="00E31740">
        <w:rPr>
          <w:rFonts w:ascii="標楷體" w:eastAsia="標楷體" w:hAnsi="標楷體" w:hint="eastAsia"/>
          <w:b/>
          <w:color w:val="0070C0"/>
          <w:spacing w:val="15"/>
          <w:sz w:val="28"/>
          <w:szCs w:val="28"/>
        </w:rPr>
        <w:t>第十一條</w:t>
      </w:r>
      <w:r>
        <w:rPr>
          <w:rFonts w:ascii="標楷體" w:eastAsia="標楷體" w:hAnsi="標楷體" w:hint="eastAsia"/>
          <w:b/>
          <w:spacing w:val="15"/>
          <w:sz w:val="28"/>
          <w:szCs w:val="28"/>
        </w:rPr>
        <w:tab/>
      </w:r>
      <w:r w:rsidR="00143EFD">
        <w:rPr>
          <w:rFonts w:ascii="標楷體" w:eastAsia="標楷體" w:hAnsi="標楷體"/>
          <w:b/>
          <w:spacing w:val="15"/>
          <w:sz w:val="28"/>
          <w:szCs w:val="28"/>
        </w:rPr>
        <w:tab/>
      </w:r>
      <w:r w:rsidR="00143EFD">
        <w:rPr>
          <w:rFonts w:ascii="標楷體" w:eastAsia="標楷體" w:hAnsi="標楷體" w:hint="eastAsia"/>
          <w:b/>
          <w:spacing w:val="15"/>
          <w:sz w:val="28"/>
          <w:szCs w:val="28"/>
        </w:rPr>
        <w:t xml:space="preserve">  </w:t>
      </w:r>
      <w:r w:rsidR="002F1F85" w:rsidRPr="003137E0">
        <w:rPr>
          <w:rFonts w:ascii="標楷體" w:eastAsia="標楷體" w:hAnsi="標楷體" w:hint="eastAsia"/>
          <w:color w:val="0070C0"/>
          <w:sz w:val="28"/>
          <w:szCs w:val="28"/>
        </w:rPr>
        <w:t>依第九條第一項規定申請中央目的事業主管機關同意時，其投資計畫涉及二以上中央目的事業主管機關者，申請人應依其投資事業之主要計畫案，向該管中央目的事業主管機關申請；該管中央目的事業主管機關無法判定者，由行政院指定之。</w:t>
      </w:r>
    </w:p>
    <w:p w:rsidR="006C2024" w:rsidRPr="0054696A" w:rsidRDefault="006C2024" w:rsidP="000A1E58">
      <w:pPr>
        <w:spacing w:line="520" w:lineRule="exact"/>
        <w:ind w:left="1275" w:hangingChars="411" w:hanging="1275"/>
        <w:jc w:val="both"/>
        <w:rPr>
          <w:rFonts w:ascii="標楷體" w:eastAsia="標楷體" w:hAnsi="標楷體" w:cs="Times New Roman"/>
          <w:color w:val="0070C0"/>
          <w:sz w:val="28"/>
          <w:szCs w:val="28"/>
        </w:rPr>
      </w:pPr>
      <w:r w:rsidRPr="0054696A">
        <w:rPr>
          <w:rFonts w:ascii="標楷體" w:eastAsia="標楷體" w:hAnsi="標楷體" w:hint="eastAsia"/>
          <w:b/>
          <w:color w:val="0070C0"/>
          <w:spacing w:val="15"/>
          <w:sz w:val="28"/>
          <w:szCs w:val="28"/>
        </w:rPr>
        <w:t>第十二條</w:t>
      </w:r>
      <w:r w:rsidRPr="00343674">
        <w:rPr>
          <w:rFonts w:ascii="標楷體" w:eastAsia="標楷體" w:hAnsi="標楷體" w:hint="eastAsia"/>
          <w:b/>
          <w:spacing w:val="15"/>
          <w:sz w:val="28"/>
          <w:szCs w:val="28"/>
        </w:rPr>
        <w:t xml:space="preserve">　</w:t>
      </w:r>
      <w:r w:rsidR="003A6AB5" w:rsidRPr="00343674">
        <w:rPr>
          <w:rFonts w:ascii="標楷體" w:eastAsia="標楷體" w:hAnsi="標楷體" w:hint="eastAsia"/>
          <w:b/>
          <w:spacing w:val="15"/>
          <w:sz w:val="28"/>
          <w:szCs w:val="28"/>
        </w:rPr>
        <w:t xml:space="preserve">　</w:t>
      </w:r>
      <w:r w:rsidR="002F1F85" w:rsidRPr="0054696A">
        <w:rPr>
          <w:rFonts w:ascii="標楷體" w:eastAsia="標楷體" w:hAnsi="標楷體" w:hint="eastAsia"/>
          <w:color w:val="0070C0"/>
          <w:sz w:val="28"/>
          <w:szCs w:val="28"/>
        </w:rPr>
        <w:t>中央目的事業主管機關得視發展現況及產業需求，訂定各類用地總量管制基準，作為准駁之依據，並於核准後列冊管理。</w:t>
      </w:r>
    </w:p>
    <w:p w:rsidR="00391DD7" w:rsidRPr="00A84747" w:rsidRDefault="002F1F85" w:rsidP="000A1E58">
      <w:pPr>
        <w:spacing w:line="520" w:lineRule="exact"/>
        <w:ind w:left="1275" w:hangingChars="411" w:hanging="1275"/>
        <w:jc w:val="both"/>
        <w:rPr>
          <w:rFonts w:ascii="標楷體" w:eastAsia="標楷體" w:hAnsi="標楷體" w:cs="Times New Roman"/>
          <w:color w:val="0070C0"/>
          <w:sz w:val="28"/>
          <w:szCs w:val="28"/>
        </w:rPr>
      </w:pPr>
      <w:r w:rsidRPr="00A84747">
        <w:rPr>
          <w:rFonts w:ascii="標楷體" w:eastAsia="標楷體" w:hAnsi="標楷體" w:hint="eastAsia"/>
          <w:b/>
          <w:color w:val="0070C0"/>
          <w:spacing w:val="15"/>
          <w:sz w:val="28"/>
          <w:szCs w:val="28"/>
        </w:rPr>
        <w:t>第十三條</w:t>
      </w:r>
      <w:r w:rsidRPr="00343674">
        <w:rPr>
          <w:rFonts w:ascii="標楷體" w:eastAsia="標楷體" w:hAnsi="標楷體" w:hint="eastAsia"/>
          <w:b/>
          <w:spacing w:val="15"/>
          <w:sz w:val="28"/>
          <w:szCs w:val="28"/>
        </w:rPr>
        <w:t xml:space="preserve">　　</w:t>
      </w:r>
      <w:r w:rsidRPr="00A84747">
        <w:rPr>
          <w:rFonts w:ascii="標楷體" w:eastAsia="標楷體" w:hAnsi="標楷體" w:cs="Times New Roman" w:hint="eastAsia"/>
          <w:color w:val="0070C0"/>
          <w:sz w:val="28"/>
          <w:szCs w:val="28"/>
        </w:rPr>
        <w:t>中央目的事業主管機關同意第九條第一項規定之申請案後，應函復申請人，並函知土地所在地之直轄市或縣（市）政府；未經核准者，應敘明理由函復申請人。</w:t>
      </w:r>
    </w:p>
    <w:p w:rsidR="00391DD7" w:rsidRPr="00A84747" w:rsidRDefault="002F1F85" w:rsidP="000A1E58">
      <w:pPr>
        <w:spacing w:line="520" w:lineRule="exact"/>
        <w:ind w:left="1716" w:firstLine="204"/>
        <w:jc w:val="both"/>
        <w:rPr>
          <w:rFonts w:ascii="標楷體" w:eastAsia="標楷體" w:hAnsi="標楷體" w:cs="Times New Roman"/>
          <w:color w:val="0070C0"/>
          <w:sz w:val="28"/>
          <w:szCs w:val="28"/>
        </w:rPr>
      </w:pPr>
      <w:r w:rsidRPr="00A84747">
        <w:rPr>
          <w:rFonts w:ascii="標楷體" w:eastAsia="標楷體" w:hAnsi="標楷體" w:cs="Times New Roman" w:hint="eastAsia"/>
          <w:color w:val="0070C0"/>
          <w:sz w:val="28"/>
          <w:szCs w:val="28"/>
        </w:rPr>
        <w:t>前項同意函之內容，應敘明下列事項：</w:t>
      </w:r>
    </w:p>
    <w:p w:rsidR="00391DD7" w:rsidRPr="00A84747" w:rsidRDefault="002F1F85" w:rsidP="00C23687">
      <w:pPr>
        <w:pStyle w:val="a3"/>
        <w:numPr>
          <w:ilvl w:val="0"/>
          <w:numId w:val="9"/>
        </w:numPr>
        <w:spacing w:line="520" w:lineRule="exact"/>
        <w:ind w:leftChars="0" w:hanging="648"/>
        <w:jc w:val="both"/>
        <w:rPr>
          <w:rFonts w:ascii="標楷體" w:eastAsia="標楷體" w:hAnsi="標楷體" w:cs="新細明體"/>
          <w:color w:val="0070C0"/>
          <w:spacing w:val="15"/>
          <w:sz w:val="28"/>
          <w:szCs w:val="28"/>
        </w:rPr>
      </w:pPr>
      <w:r w:rsidRPr="00A84747">
        <w:rPr>
          <w:rFonts w:ascii="標楷體" w:eastAsia="標楷體" w:hAnsi="標楷體" w:cs="新細明體" w:hint="eastAsia"/>
          <w:color w:val="0070C0"/>
          <w:spacing w:val="15"/>
          <w:sz w:val="28"/>
          <w:szCs w:val="28"/>
        </w:rPr>
        <w:t>申請案件經同意後，應依第九條第二項規定之程序辦理。</w:t>
      </w:r>
    </w:p>
    <w:p w:rsidR="002F1F85" w:rsidRPr="00A84747" w:rsidRDefault="002F1F85" w:rsidP="00C23687">
      <w:pPr>
        <w:pStyle w:val="a3"/>
        <w:numPr>
          <w:ilvl w:val="0"/>
          <w:numId w:val="9"/>
        </w:numPr>
        <w:spacing w:line="520" w:lineRule="exact"/>
        <w:ind w:leftChars="0" w:hanging="648"/>
        <w:jc w:val="both"/>
        <w:rPr>
          <w:rFonts w:ascii="標楷體" w:eastAsia="標楷體" w:hAnsi="標楷體" w:cs="新細明體"/>
          <w:color w:val="0070C0"/>
          <w:spacing w:val="15"/>
          <w:sz w:val="28"/>
          <w:szCs w:val="28"/>
        </w:rPr>
      </w:pPr>
      <w:r w:rsidRPr="00A84747">
        <w:rPr>
          <w:rFonts w:ascii="標楷體" w:eastAsia="標楷體" w:hAnsi="標楷體" w:cs="新細明體" w:hint="eastAsia"/>
          <w:color w:val="0070C0"/>
          <w:spacing w:val="15"/>
          <w:sz w:val="28"/>
          <w:szCs w:val="28"/>
        </w:rPr>
        <w:t>申請取得之土地，其使用涉及環境影響評估、水土保持、土地使用分區與用地變更及土地開發者，仍應依相關法令規定及程序辦理。</w:t>
      </w:r>
    </w:p>
    <w:p w:rsidR="006E16B2" w:rsidRPr="00A84747" w:rsidRDefault="00484D9B" w:rsidP="000A1E58">
      <w:pPr>
        <w:spacing w:line="520" w:lineRule="exact"/>
        <w:ind w:left="1272" w:hangingChars="410" w:hanging="1272"/>
        <w:jc w:val="both"/>
        <w:rPr>
          <w:rFonts w:ascii="標楷體" w:eastAsia="標楷體" w:hAnsi="標楷體" w:cs="Times New Roman"/>
          <w:color w:val="0070C0"/>
          <w:sz w:val="28"/>
          <w:szCs w:val="28"/>
        </w:rPr>
      </w:pPr>
      <w:r w:rsidRPr="00A84747">
        <w:rPr>
          <w:rFonts w:ascii="標楷體" w:eastAsia="標楷體" w:hAnsi="標楷體" w:hint="eastAsia"/>
          <w:b/>
          <w:color w:val="0070C0"/>
          <w:spacing w:val="15"/>
          <w:sz w:val="28"/>
          <w:szCs w:val="28"/>
        </w:rPr>
        <w:t>第十四條</w:t>
      </w:r>
      <w:r w:rsidR="006E16B2" w:rsidRPr="006E16B2">
        <w:rPr>
          <w:rFonts w:ascii="標楷體" w:eastAsia="標楷體" w:hAnsi="標楷體" w:hint="eastAsia"/>
          <w:spacing w:val="15"/>
          <w:sz w:val="28"/>
          <w:szCs w:val="28"/>
        </w:rPr>
        <w:tab/>
      </w:r>
      <w:r w:rsidR="006E16B2">
        <w:rPr>
          <w:rFonts w:ascii="標楷體" w:eastAsia="標楷體" w:hAnsi="標楷體"/>
          <w:spacing w:val="15"/>
          <w:sz w:val="28"/>
          <w:szCs w:val="28"/>
        </w:rPr>
        <w:tab/>
      </w:r>
      <w:r w:rsidR="006E16B2">
        <w:rPr>
          <w:rFonts w:ascii="標楷體" w:eastAsia="標楷體" w:hAnsi="標楷體"/>
          <w:spacing w:val="15"/>
          <w:sz w:val="28"/>
          <w:szCs w:val="28"/>
        </w:rPr>
        <w:tab/>
      </w:r>
      <w:r w:rsidRPr="00A84747">
        <w:rPr>
          <w:rFonts w:ascii="標楷體" w:eastAsia="標楷體" w:hAnsi="標楷體" w:hint="eastAsia"/>
          <w:color w:val="0070C0"/>
          <w:spacing w:val="15"/>
          <w:sz w:val="28"/>
          <w:szCs w:val="28"/>
        </w:rPr>
        <w:t>申請人依第六條、第八條第二項或第九條第二項規定檢附之文件，有不符規定或不全而得補正者，直轄市或縣(市)政府應通知申請人於二個月內補正；屆期不補正或補正不全者，不予受理其申請。</w:t>
      </w:r>
    </w:p>
    <w:p w:rsidR="006E16B2" w:rsidRPr="00A84747" w:rsidRDefault="006E16B2" w:rsidP="000A1E58">
      <w:pPr>
        <w:spacing w:line="520" w:lineRule="exact"/>
        <w:ind w:left="1276" w:firstLineChars="198" w:firstLine="614"/>
        <w:jc w:val="both"/>
        <w:rPr>
          <w:rFonts w:ascii="標楷體" w:eastAsia="標楷體" w:hAnsi="標楷體"/>
          <w:color w:val="0070C0"/>
          <w:spacing w:val="15"/>
          <w:sz w:val="28"/>
          <w:szCs w:val="28"/>
        </w:rPr>
      </w:pPr>
      <w:r w:rsidRPr="00A84747">
        <w:rPr>
          <w:rFonts w:ascii="標楷體" w:eastAsia="標楷體" w:hAnsi="標楷體" w:hint="eastAsia"/>
          <w:color w:val="0070C0"/>
          <w:spacing w:val="15"/>
          <w:sz w:val="28"/>
          <w:szCs w:val="28"/>
        </w:rPr>
        <w:t>直轄巿或縣（巿）政府依第六條、第八條第二項</w:t>
      </w:r>
      <w:r w:rsidRPr="00A84747">
        <w:rPr>
          <w:rFonts w:ascii="標楷體" w:eastAsia="標楷體" w:hAnsi="標楷體" w:hint="eastAsia"/>
          <w:color w:val="0070C0"/>
          <w:spacing w:val="15"/>
          <w:sz w:val="28"/>
          <w:szCs w:val="28"/>
        </w:rPr>
        <w:lastRenderedPageBreak/>
        <w:t>或第九條第二項規定審核通過後，應併同取得、設定或移轉不動產物權案件簡報表，報請內政部許可。</w:t>
      </w:r>
    </w:p>
    <w:p w:rsidR="006E16B2" w:rsidRPr="00A84747" w:rsidRDefault="00484D9B" w:rsidP="000A1E58">
      <w:pPr>
        <w:spacing w:line="520" w:lineRule="exact"/>
        <w:ind w:left="1276" w:firstLineChars="198" w:firstLine="614"/>
        <w:jc w:val="both"/>
        <w:rPr>
          <w:rFonts w:ascii="標楷體" w:eastAsia="標楷體" w:hAnsi="標楷體" w:cs="Times New Roman"/>
          <w:color w:val="0070C0"/>
          <w:sz w:val="28"/>
          <w:szCs w:val="28"/>
        </w:rPr>
      </w:pPr>
      <w:r w:rsidRPr="00A84747">
        <w:rPr>
          <w:rFonts w:ascii="標楷體" w:eastAsia="標楷體" w:hAnsi="標楷體" w:hint="eastAsia"/>
          <w:color w:val="0070C0"/>
          <w:spacing w:val="15"/>
          <w:sz w:val="28"/>
          <w:szCs w:val="28"/>
        </w:rPr>
        <w:t>前項許可之文件有效期限為一年。</w:t>
      </w:r>
    </w:p>
    <w:p w:rsidR="00484D9B" w:rsidRPr="00A84747" w:rsidRDefault="006E16B2" w:rsidP="000A1E58">
      <w:pPr>
        <w:pStyle w:val="HTML"/>
        <w:tabs>
          <w:tab w:val="clear" w:pos="916"/>
          <w:tab w:val="clear" w:pos="1832"/>
          <w:tab w:val="clear" w:pos="2748"/>
          <w:tab w:val="left" w:pos="1916"/>
        </w:tabs>
        <w:spacing w:line="520" w:lineRule="exact"/>
        <w:ind w:leftChars="531" w:left="1274" w:firstLineChars="185" w:firstLine="518"/>
        <w:jc w:val="both"/>
        <w:rPr>
          <w:rFonts w:ascii="標楷體" w:eastAsia="標楷體" w:hAnsi="標楷體" w:cs="Times New Roman"/>
          <w:color w:val="0070C0"/>
          <w:kern w:val="2"/>
          <w:sz w:val="28"/>
          <w:szCs w:val="28"/>
        </w:rPr>
      </w:pPr>
      <w:r w:rsidRPr="00A84747">
        <w:rPr>
          <w:rFonts w:ascii="標楷體" w:eastAsia="標楷體" w:hAnsi="標楷體" w:cs="Times New Roman"/>
          <w:color w:val="0070C0"/>
          <w:kern w:val="2"/>
          <w:sz w:val="28"/>
          <w:szCs w:val="28"/>
        </w:rPr>
        <w:tab/>
      </w:r>
      <w:r w:rsidR="00484D9B" w:rsidRPr="00A84747">
        <w:rPr>
          <w:rFonts w:ascii="標楷體" w:eastAsia="標楷體" w:hAnsi="標楷體" w:cs="Times New Roman" w:hint="eastAsia"/>
          <w:color w:val="0070C0"/>
          <w:kern w:val="2"/>
          <w:sz w:val="28"/>
          <w:szCs w:val="28"/>
        </w:rPr>
        <w:t>經許可取得或設定之不動產物權，因法院、行政執行署所屬行政執行分署或依金融機構合併法授權認可之公正第三人之拍賣，由臺灣地區人民拍定，申請移轉該不動產物權者，得逕向不動產所在地之登記機關辦理登記，不適用第六條、第八條第二項或第九條第二項規定。</w:t>
      </w:r>
    </w:p>
    <w:p w:rsidR="00484D9B" w:rsidRPr="00A84747" w:rsidRDefault="00484D9B" w:rsidP="000A1E58">
      <w:pPr>
        <w:pStyle w:val="HTML"/>
        <w:tabs>
          <w:tab w:val="clear" w:pos="916"/>
          <w:tab w:val="clear" w:pos="1832"/>
          <w:tab w:val="clear" w:pos="2748"/>
          <w:tab w:val="left" w:pos="1916"/>
        </w:tabs>
        <w:spacing w:line="520" w:lineRule="exact"/>
        <w:ind w:leftChars="531" w:left="1274" w:firstLineChars="185" w:firstLine="518"/>
        <w:jc w:val="both"/>
        <w:rPr>
          <w:rFonts w:ascii="標楷體" w:eastAsia="標楷體" w:hAnsi="標楷體" w:cs="Times New Roman"/>
          <w:color w:val="0070C0"/>
          <w:kern w:val="2"/>
          <w:sz w:val="28"/>
          <w:szCs w:val="28"/>
        </w:rPr>
      </w:pPr>
      <w:r w:rsidRPr="00A84747">
        <w:rPr>
          <w:rFonts w:ascii="標楷體" w:eastAsia="標楷體" w:hAnsi="標楷體" w:cs="Times New Roman" w:hint="eastAsia"/>
          <w:color w:val="0070C0"/>
          <w:kern w:val="2"/>
          <w:sz w:val="28"/>
          <w:szCs w:val="28"/>
        </w:rPr>
        <w:t>經許可取得、設定或移轉之不動產物權，內政部及直轄巿或縣（巿）政府，應列冊管理。</w:t>
      </w:r>
    </w:p>
    <w:p w:rsidR="00484D9B" w:rsidRPr="00A84747" w:rsidRDefault="00484D9B" w:rsidP="000A1E58">
      <w:pPr>
        <w:pStyle w:val="HTML"/>
        <w:tabs>
          <w:tab w:val="clear" w:pos="916"/>
          <w:tab w:val="clear" w:pos="1832"/>
          <w:tab w:val="clear" w:pos="2748"/>
        </w:tabs>
        <w:spacing w:line="520" w:lineRule="exact"/>
        <w:ind w:leftChars="531" w:left="1274" w:firstLineChars="185" w:firstLine="518"/>
        <w:jc w:val="both"/>
        <w:rPr>
          <w:rFonts w:ascii="標楷體" w:eastAsia="標楷體" w:hAnsi="標楷體"/>
          <w:color w:val="0070C0"/>
          <w:sz w:val="28"/>
          <w:szCs w:val="28"/>
        </w:rPr>
      </w:pPr>
      <w:r w:rsidRPr="00A84747">
        <w:rPr>
          <w:rFonts w:ascii="標楷體" w:eastAsia="標楷體" w:hAnsi="標楷體" w:cs="Times New Roman" w:hint="eastAsia"/>
          <w:color w:val="0070C0"/>
          <w:kern w:val="2"/>
          <w:sz w:val="28"/>
          <w:szCs w:val="28"/>
        </w:rPr>
        <w:t>經許可取得或設定不動產物權，直轄市或縣(市)政府應定期稽查其取得、設定後之使用情形，並報內政部。</w:t>
      </w:r>
    </w:p>
    <w:p w:rsidR="00484D9B" w:rsidRPr="00A84747" w:rsidRDefault="002F1F85" w:rsidP="000A1E58">
      <w:pPr>
        <w:spacing w:line="520" w:lineRule="exact"/>
        <w:ind w:left="1275" w:hangingChars="411" w:hanging="1275"/>
        <w:jc w:val="both"/>
        <w:rPr>
          <w:rFonts w:ascii="標楷體" w:eastAsia="標楷體" w:hAnsi="標楷體" w:cs="Times New Roman"/>
          <w:color w:val="0070C0"/>
          <w:sz w:val="28"/>
          <w:szCs w:val="28"/>
        </w:rPr>
      </w:pPr>
      <w:r w:rsidRPr="00A84747">
        <w:rPr>
          <w:rFonts w:ascii="標楷體" w:eastAsia="標楷體" w:hAnsi="標楷體" w:hint="eastAsia"/>
          <w:b/>
          <w:color w:val="0070C0"/>
          <w:spacing w:val="15"/>
          <w:sz w:val="28"/>
          <w:szCs w:val="28"/>
        </w:rPr>
        <w:t>第十五</w:t>
      </w:r>
      <w:r w:rsidR="00484D9B" w:rsidRPr="00A84747">
        <w:rPr>
          <w:rFonts w:ascii="標楷體" w:eastAsia="標楷體" w:hAnsi="標楷體" w:hint="eastAsia"/>
          <w:b/>
          <w:color w:val="0070C0"/>
          <w:spacing w:val="15"/>
          <w:sz w:val="28"/>
          <w:szCs w:val="28"/>
        </w:rPr>
        <w:t xml:space="preserve">條 </w:t>
      </w:r>
      <w:r w:rsidR="00484D9B" w:rsidRPr="00343674">
        <w:rPr>
          <w:rFonts w:ascii="標楷體" w:eastAsia="標楷體" w:hAnsi="標楷體" w:hint="eastAsia"/>
          <w:b/>
          <w:spacing w:val="15"/>
          <w:sz w:val="28"/>
          <w:szCs w:val="28"/>
        </w:rPr>
        <w:t xml:space="preserve"> </w:t>
      </w:r>
      <w:r w:rsidR="00545CDE">
        <w:rPr>
          <w:rFonts w:ascii="標楷體" w:eastAsia="標楷體" w:hAnsi="標楷體" w:hint="eastAsia"/>
          <w:b/>
          <w:spacing w:val="15"/>
          <w:sz w:val="28"/>
          <w:szCs w:val="28"/>
        </w:rPr>
        <w:t xml:space="preserve"> </w:t>
      </w:r>
      <w:r w:rsidR="00484D9B" w:rsidRPr="00A84747">
        <w:rPr>
          <w:rFonts w:ascii="標楷體" w:eastAsia="標楷體" w:hAnsi="標楷體" w:cs="Times New Roman" w:hint="eastAsia"/>
          <w:color w:val="0070C0"/>
          <w:sz w:val="28"/>
          <w:szCs w:val="28"/>
        </w:rPr>
        <w:t>內政部為第六條、第八條或第九條規定之許可，必要時得邀集有關機關審查之。</w:t>
      </w:r>
    </w:p>
    <w:p w:rsidR="00484D9B" w:rsidRPr="00A84747" w:rsidRDefault="00484D9B" w:rsidP="000A1E58">
      <w:pPr>
        <w:spacing w:line="520" w:lineRule="exact"/>
        <w:ind w:left="1275" w:hangingChars="411" w:hanging="1275"/>
        <w:jc w:val="both"/>
        <w:rPr>
          <w:rFonts w:ascii="標楷體" w:eastAsia="標楷體" w:hAnsi="標楷體"/>
          <w:color w:val="0070C0"/>
          <w:spacing w:val="15"/>
          <w:sz w:val="28"/>
          <w:szCs w:val="28"/>
        </w:rPr>
      </w:pPr>
      <w:r w:rsidRPr="00A84747">
        <w:rPr>
          <w:rFonts w:ascii="標楷體" w:eastAsia="標楷體" w:hAnsi="標楷體" w:hint="eastAsia"/>
          <w:b/>
          <w:color w:val="0070C0"/>
          <w:spacing w:val="15"/>
          <w:sz w:val="28"/>
          <w:szCs w:val="28"/>
        </w:rPr>
        <w:t xml:space="preserve">          </w:t>
      </w:r>
      <w:r w:rsidR="00545CDE" w:rsidRPr="00A84747">
        <w:rPr>
          <w:rFonts w:ascii="標楷體" w:eastAsia="標楷體" w:hAnsi="標楷體" w:hint="eastAsia"/>
          <w:b/>
          <w:color w:val="0070C0"/>
          <w:spacing w:val="15"/>
          <w:sz w:val="28"/>
          <w:szCs w:val="28"/>
        </w:rPr>
        <w:t xml:space="preserve"> </w:t>
      </w:r>
      <w:r w:rsidRPr="00A84747">
        <w:rPr>
          <w:rFonts w:ascii="標楷體" w:eastAsia="標楷體" w:hAnsi="標楷體" w:cs="Times New Roman" w:hint="eastAsia"/>
          <w:color w:val="0070C0"/>
          <w:sz w:val="28"/>
          <w:szCs w:val="28"/>
        </w:rPr>
        <w:t>內政部為第六條或第八條規定之許可，得訂定一定金額、一定面積及總量管制，作為准駁之依據。</w:t>
      </w:r>
    </w:p>
    <w:p w:rsidR="00545CDE" w:rsidRPr="00120716" w:rsidRDefault="002F1F85" w:rsidP="000A1E58">
      <w:pPr>
        <w:spacing w:line="520" w:lineRule="exact"/>
        <w:ind w:left="1275" w:hangingChars="411" w:hanging="1275"/>
        <w:jc w:val="both"/>
        <w:rPr>
          <w:rFonts w:ascii="標楷體" w:eastAsia="標楷體" w:hAnsi="標楷體" w:cs="Times New Roman"/>
          <w:color w:val="0070C0"/>
          <w:sz w:val="28"/>
          <w:szCs w:val="28"/>
        </w:rPr>
      </w:pPr>
      <w:r w:rsidRPr="00120716">
        <w:rPr>
          <w:rFonts w:ascii="標楷體" w:eastAsia="標楷體" w:hAnsi="標楷體" w:hint="eastAsia"/>
          <w:b/>
          <w:color w:val="0070C0"/>
          <w:spacing w:val="15"/>
          <w:sz w:val="28"/>
          <w:szCs w:val="28"/>
        </w:rPr>
        <w:t>第十六</w:t>
      </w:r>
      <w:r w:rsidR="00484D9B" w:rsidRPr="00120716">
        <w:rPr>
          <w:rFonts w:ascii="標楷體" w:eastAsia="標楷體" w:hAnsi="標楷體" w:hint="eastAsia"/>
          <w:b/>
          <w:color w:val="0070C0"/>
          <w:spacing w:val="15"/>
          <w:sz w:val="28"/>
          <w:szCs w:val="28"/>
        </w:rPr>
        <w:t>條</w:t>
      </w:r>
      <w:r w:rsidR="00484D9B" w:rsidRPr="00343674">
        <w:rPr>
          <w:rFonts w:ascii="標楷體" w:eastAsia="標楷體" w:hAnsi="標楷體" w:hint="eastAsia"/>
          <w:b/>
          <w:spacing w:val="15"/>
          <w:sz w:val="28"/>
          <w:szCs w:val="28"/>
        </w:rPr>
        <w:t xml:space="preserve">  </w:t>
      </w:r>
      <w:r w:rsidR="00545CDE">
        <w:rPr>
          <w:rFonts w:ascii="標楷體" w:eastAsia="標楷體" w:hAnsi="標楷體" w:hint="eastAsia"/>
          <w:b/>
          <w:spacing w:val="15"/>
          <w:sz w:val="28"/>
          <w:szCs w:val="28"/>
        </w:rPr>
        <w:t xml:space="preserve"> </w:t>
      </w:r>
      <w:r w:rsidR="00484D9B" w:rsidRPr="00120716">
        <w:rPr>
          <w:rFonts w:ascii="標楷體" w:eastAsia="標楷體" w:hAnsi="標楷體" w:cs="Times New Roman" w:hint="eastAsia"/>
          <w:color w:val="0070C0"/>
          <w:sz w:val="28"/>
          <w:szCs w:val="28"/>
        </w:rPr>
        <w:t>經許可取得、設定或移轉不動產物權，應由申請人檢附許可文件及土地登記規則第三十四條規定之文件，向不動產所在地之登記機關辦理登記。</w:t>
      </w:r>
    </w:p>
    <w:p w:rsidR="00545CDE" w:rsidRPr="00120716" w:rsidRDefault="00484D9B" w:rsidP="000A1E58">
      <w:pPr>
        <w:spacing w:line="520" w:lineRule="exact"/>
        <w:ind w:left="1276" w:firstLine="567"/>
        <w:jc w:val="both"/>
        <w:rPr>
          <w:rFonts w:ascii="標楷體" w:eastAsia="標楷體" w:hAnsi="標楷體" w:cs="Times New Roman"/>
          <w:color w:val="0070C0"/>
          <w:sz w:val="28"/>
          <w:szCs w:val="28"/>
        </w:rPr>
      </w:pPr>
      <w:r w:rsidRPr="00120716">
        <w:rPr>
          <w:rFonts w:ascii="標楷體" w:eastAsia="標楷體" w:hAnsi="標楷體" w:cs="Times New Roman" w:hint="eastAsia"/>
          <w:color w:val="0070C0"/>
          <w:sz w:val="28"/>
          <w:szCs w:val="28"/>
        </w:rPr>
        <w:t>登記機關依前項及第十四條第四項規定辦理登記後，應將登記結果，通知內政部及不動產所在地直轄市或縣（市）政府；第九條所定案件登記結果，並應副知中央目的事業主管機關。</w:t>
      </w:r>
    </w:p>
    <w:p w:rsidR="00484D9B" w:rsidRPr="00120716" w:rsidRDefault="00484D9B" w:rsidP="000A1E58">
      <w:pPr>
        <w:spacing w:line="520" w:lineRule="exact"/>
        <w:ind w:left="1276" w:firstLine="567"/>
        <w:jc w:val="both"/>
        <w:rPr>
          <w:rFonts w:ascii="標楷體" w:eastAsia="標楷體" w:hAnsi="標楷體" w:cs="Times New Roman"/>
          <w:color w:val="0070C0"/>
          <w:sz w:val="28"/>
          <w:szCs w:val="28"/>
        </w:rPr>
      </w:pPr>
      <w:r w:rsidRPr="00120716">
        <w:rPr>
          <w:rFonts w:ascii="標楷體" w:eastAsia="標楷體" w:hAnsi="標楷體" w:cs="Times New Roman" w:hint="eastAsia"/>
          <w:color w:val="0070C0"/>
          <w:sz w:val="28"/>
          <w:szCs w:val="28"/>
        </w:rPr>
        <w:t>依第一項規定辦竣登記後，所有權人或他項權利人經許可進入臺灣地區定居，設有戶籍並辦竣統一編號更正登記，準用前項規定。</w:t>
      </w:r>
    </w:p>
    <w:p w:rsidR="00484D9B" w:rsidRPr="000E030B" w:rsidRDefault="002F1F85" w:rsidP="000A1E58">
      <w:pPr>
        <w:spacing w:line="520" w:lineRule="exact"/>
        <w:ind w:left="1275" w:hangingChars="411" w:hanging="1275"/>
        <w:jc w:val="both"/>
        <w:rPr>
          <w:rFonts w:ascii="標楷體" w:eastAsia="標楷體" w:hAnsi="標楷體"/>
          <w:color w:val="0070C0"/>
          <w:spacing w:val="15"/>
          <w:sz w:val="28"/>
          <w:szCs w:val="28"/>
        </w:rPr>
      </w:pPr>
      <w:r w:rsidRPr="00343674">
        <w:rPr>
          <w:rFonts w:ascii="標楷體" w:eastAsia="標楷體" w:hAnsi="標楷體" w:hint="eastAsia"/>
          <w:b/>
          <w:spacing w:val="15"/>
          <w:sz w:val="28"/>
          <w:szCs w:val="28"/>
        </w:rPr>
        <w:lastRenderedPageBreak/>
        <w:t>第十七</w:t>
      </w:r>
      <w:r w:rsidR="00484D9B" w:rsidRPr="00343674">
        <w:rPr>
          <w:rFonts w:ascii="標楷體" w:eastAsia="標楷體" w:hAnsi="標楷體" w:hint="eastAsia"/>
          <w:b/>
          <w:spacing w:val="15"/>
          <w:sz w:val="28"/>
          <w:szCs w:val="28"/>
        </w:rPr>
        <w:t xml:space="preserve">條  </w:t>
      </w:r>
      <w:r w:rsidR="00545CDE">
        <w:rPr>
          <w:rFonts w:ascii="標楷體" w:eastAsia="標楷體" w:hAnsi="標楷體" w:hint="eastAsia"/>
          <w:b/>
          <w:spacing w:val="15"/>
          <w:sz w:val="28"/>
          <w:szCs w:val="28"/>
        </w:rPr>
        <w:t xml:space="preserve"> </w:t>
      </w:r>
      <w:r w:rsidR="00484D9B" w:rsidRPr="000E030B">
        <w:rPr>
          <w:rFonts w:ascii="標楷體" w:eastAsia="標楷體" w:hAnsi="標楷體" w:cs="Times New Roman" w:hint="eastAsia"/>
          <w:color w:val="0070C0"/>
          <w:sz w:val="28"/>
          <w:szCs w:val="28"/>
        </w:rPr>
        <w:t>大陸地區人民、法人、團體或其他機構，或陸資公司依第六條或第八條規定申請取得或設定不動產物權經許可後，有下列情形之一者，內政部應撤銷或廢止其許可，並通知不動產所在地之直轄市、縣（市）政府限期令其於一年內移轉：</w:t>
      </w:r>
    </w:p>
    <w:p w:rsidR="00484D9B" w:rsidRPr="000E030B" w:rsidRDefault="00484D9B" w:rsidP="000A1E58">
      <w:pPr>
        <w:spacing w:line="520" w:lineRule="exact"/>
        <w:ind w:leftChars="767" w:left="2408" w:hangingChars="183" w:hanging="567"/>
        <w:jc w:val="both"/>
        <w:rPr>
          <w:rFonts w:ascii="標楷體" w:eastAsia="標楷體" w:hAnsi="標楷體" w:cs="新細明體"/>
          <w:color w:val="0070C0"/>
          <w:spacing w:val="15"/>
          <w:kern w:val="0"/>
          <w:sz w:val="28"/>
          <w:szCs w:val="28"/>
        </w:rPr>
      </w:pPr>
      <w:r w:rsidRPr="000E030B">
        <w:rPr>
          <w:rFonts w:ascii="標楷體" w:eastAsia="標楷體" w:hAnsi="標楷體" w:cs="新細明體" w:hint="eastAsia"/>
          <w:color w:val="0070C0"/>
          <w:spacing w:val="15"/>
          <w:kern w:val="0"/>
          <w:sz w:val="28"/>
          <w:szCs w:val="28"/>
        </w:rPr>
        <w:t>一、</w:t>
      </w:r>
      <w:r w:rsidRPr="000E030B">
        <w:rPr>
          <w:rFonts w:ascii="標楷體" w:eastAsia="標楷體" w:hAnsi="標楷體" w:cs="Times New Roman" w:hint="eastAsia"/>
          <w:color w:val="0070C0"/>
          <w:sz w:val="28"/>
          <w:szCs w:val="28"/>
        </w:rPr>
        <w:t>依第六條規定申請取得不動產物權之權利人，擔任大陸地區黨務、軍事、行政或具政治性機關（構）、團體之職務或為其成員。</w:t>
      </w:r>
    </w:p>
    <w:p w:rsidR="00484D9B" w:rsidRPr="000E030B" w:rsidRDefault="00F87FA1" w:rsidP="000A1E58">
      <w:pPr>
        <w:spacing w:line="520" w:lineRule="exact"/>
        <w:ind w:leftChars="767" w:left="2408" w:hangingChars="183" w:hanging="567"/>
        <w:jc w:val="both"/>
        <w:rPr>
          <w:rFonts w:ascii="標楷體" w:eastAsia="標楷體" w:hAnsi="標楷體" w:cs="新細明體"/>
          <w:color w:val="0070C0"/>
          <w:spacing w:val="15"/>
          <w:kern w:val="0"/>
          <w:sz w:val="28"/>
          <w:szCs w:val="28"/>
        </w:rPr>
      </w:pPr>
      <w:r w:rsidRPr="000E030B">
        <w:rPr>
          <w:rFonts w:ascii="標楷體" w:eastAsia="標楷體" w:hAnsi="標楷體" w:cs="新細明體" w:hint="eastAsia"/>
          <w:color w:val="0070C0"/>
          <w:spacing w:val="15"/>
          <w:kern w:val="0"/>
          <w:sz w:val="28"/>
          <w:szCs w:val="28"/>
        </w:rPr>
        <w:t>二、權利人為不符第七條第一項或第八條第一項所</w:t>
      </w:r>
      <w:r w:rsidR="00484D9B" w:rsidRPr="000E030B">
        <w:rPr>
          <w:rFonts w:ascii="標楷體" w:eastAsia="標楷體" w:hAnsi="標楷體" w:cs="新細明體" w:hint="eastAsia"/>
          <w:color w:val="0070C0"/>
          <w:spacing w:val="15"/>
          <w:kern w:val="0"/>
          <w:sz w:val="28"/>
          <w:szCs w:val="28"/>
        </w:rPr>
        <w:t>定申請目的之使用。</w:t>
      </w:r>
    </w:p>
    <w:p w:rsidR="00484D9B" w:rsidRPr="000E030B" w:rsidRDefault="00484D9B" w:rsidP="000A1E58">
      <w:pPr>
        <w:spacing w:line="520" w:lineRule="exact"/>
        <w:ind w:leftChars="767" w:left="2408" w:hangingChars="183" w:hanging="567"/>
        <w:jc w:val="both"/>
        <w:rPr>
          <w:rFonts w:ascii="標楷體" w:eastAsia="標楷體" w:hAnsi="標楷體" w:cs="新細明體"/>
          <w:color w:val="0070C0"/>
          <w:spacing w:val="15"/>
          <w:kern w:val="0"/>
          <w:sz w:val="28"/>
          <w:szCs w:val="28"/>
        </w:rPr>
      </w:pPr>
      <w:r w:rsidRPr="000E030B">
        <w:rPr>
          <w:rFonts w:ascii="標楷體" w:eastAsia="標楷體" w:hAnsi="標楷體" w:cs="新細明體" w:hint="eastAsia"/>
          <w:color w:val="0070C0"/>
          <w:spacing w:val="15"/>
          <w:kern w:val="0"/>
          <w:sz w:val="28"/>
          <w:szCs w:val="28"/>
        </w:rPr>
        <w:t>三、經劃定屬第二條各款所定之土地。</w:t>
      </w:r>
    </w:p>
    <w:p w:rsidR="002F1F85" w:rsidRPr="000E030B" w:rsidRDefault="00484D9B" w:rsidP="000A1E58">
      <w:pPr>
        <w:spacing w:line="520" w:lineRule="exact"/>
        <w:ind w:leftChars="767" w:left="2408" w:hangingChars="183" w:hanging="567"/>
        <w:jc w:val="both"/>
        <w:rPr>
          <w:rFonts w:ascii="標楷體" w:eastAsia="標楷體" w:hAnsi="標楷體" w:cs="新細明體"/>
          <w:color w:val="0070C0"/>
          <w:spacing w:val="15"/>
          <w:kern w:val="0"/>
          <w:sz w:val="28"/>
          <w:szCs w:val="28"/>
        </w:rPr>
      </w:pPr>
      <w:r w:rsidRPr="000E030B">
        <w:rPr>
          <w:rFonts w:ascii="標楷體" w:eastAsia="標楷體" w:hAnsi="標楷體" w:cs="新細明體" w:hint="eastAsia"/>
          <w:color w:val="0070C0"/>
          <w:spacing w:val="15"/>
          <w:kern w:val="0"/>
          <w:sz w:val="28"/>
          <w:szCs w:val="28"/>
        </w:rPr>
        <w:t>四、經查有第三條各款所定情形。</w:t>
      </w:r>
    </w:p>
    <w:p w:rsidR="00545CDE" w:rsidRPr="000E030B" w:rsidRDefault="00484D9B" w:rsidP="000A1E58">
      <w:pPr>
        <w:spacing w:line="520" w:lineRule="exact"/>
        <w:ind w:leftChars="767" w:left="2408" w:hangingChars="183" w:hanging="567"/>
        <w:jc w:val="both"/>
        <w:rPr>
          <w:rFonts w:ascii="標楷體" w:eastAsia="標楷體" w:hAnsi="標楷體" w:cs="新細明體"/>
          <w:color w:val="0070C0"/>
          <w:spacing w:val="15"/>
          <w:kern w:val="0"/>
          <w:sz w:val="28"/>
          <w:szCs w:val="28"/>
        </w:rPr>
      </w:pPr>
      <w:r w:rsidRPr="000E030B">
        <w:rPr>
          <w:rFonts w:ascii="標楷體" w:eastAsia="標楷體" w:hAnsi="標楷體" w:cs="新細明體" w:hint="eastAsia"/>
          <w:color w:val="0070C0"/>
          <w:spacing w:val="15"/>
          <w:kern w:val="0"/>
          <w:sz w:val="28"/>
          <w:szCs w:val="28"/>
        </w:rPr>
        <w:t>五、違反其他法令規定。</w:t>
      </w:r>
    </w:p>
    <w:p w:rsidR="00484D9B" w:rsidRPr="000E030B" w:rsidRDefault="00484D9B" w:rsidP="000A1E58">
      <w:pPr>
        <w:spacing w:line="520" w:lineRule="exact"/>
        <w:ind w:leftChars="531" w:left="1274" w:firstLineChars="200" w:firstLine="560"/>
        <w:jc w:val="both"/>
        <w:rPr>
          <w:rFonts w:ascii="標楷體" w:eastAsia="標楷體" w:hAnsi="標楷體" w:cs="Times New Roman"/>
          <w:color w:val="0070C0"/>
          <w:sz w:val="28"/>
          <w:szCs w:val="28"/>
        </w:rPr>
      </w:pPr>
      <w:r w:rsidRPr="000E030B">
        <w:rPr>
          <w:rFonts w:ascii="標楷體" w:eastAsia="標楷體" w:hAnsi="標楷體" w:cs="Times New Roman" w:hint="eastAsia"/>
          <w:color w:val="0070C0"/>
          <w:sz w:val="28"/>
          <w:szCs w:val="28"/>
        </w:rPr>
        <w:t>前項所定各款情形，為權利人明知或故意為之者，或其不動產物權之取得、設定對國家安全、公共利益、社會秩序有立即影響者，內政部應撤銷或廢止其許可，並通知不動產所在地之直轄市、縣(市)政府，依第十九條規定逕為標售。</w:t>
      </w:r>
    </w:p>
    <w:p w:rsidR="002F1F85" w:rsidRPr="000E030B" w:rsidRDefault="00484D9B" w:rsidP="000A1E58">
      <w:pPr>
        <w:spacing w:line="520" w:lineRule="exact"/>
        <w:ind w:leftChars="531" w:left="1274" w:firstLineChars="200" w:firstLine="560"/>
        <w:jc w:val="both"/>
        <w:rPr>
          <w:rFonts w:ascii="標楷體" w:eastAsia="標楷體" w:hAnsi="標楷體" w:cs="Times New Roman"/>
          <w:color w:val="0070C0"/>
          <w:sz w:val="28"/>
          <w:szCs w:val="28"/>
        </w:rPr>
      </w:pPr>
      <w:r w:rsidRPr="000E030B">
        <w:rPr>
          <w:rFonts w:ascii="標楷體" w:eastAsia="標楷體" w:hAnsi="標楷體" w:cs="Times New Roman" w:hint="eastAsia"/>
          <w:color w:val="0070C0"/>
          <w:sz w:val="28"/>
          <w:szCs w:val="28"/>
        </w:rPr>
        <w:t>內政部依前二項規定撤銷或廢止許可時，應副知有關機關。</w:t>
      </w:r>
    </w:p>
    <w:p w:rsidR="00484D9B" w:rsidRPr="000E030B" w:rsidRDefault="002F1F85" w:rsidP="000A1E58">
      <w:pPr>
        <w:spacing w:line="520" w:lineRule="exact"/>
        <w:ind w:left="1275" w:hangingChars="411" w:hanging="1275"/>
        <w:jc w:val="both"/>
        <w:rPr>
          <w:rFonts w:ascii="標楷體" w:eastAsia="標楷體" w:hAnsi="標楷體" w:cs="Times New Roman"/>
          <w:color w:val="0070C0"/>
          <w:sz w:val="28"/>
          <w:szCs w:val="28"/>
        </w:rPr>
      </w:pPr>
      <w:r w:rsidRPr="000E030B">
        <w:rPr>
          <w:rFonts w:ascii="標楷體" w:eastAsia="標楷體" w:hAnsi="標楷體" w:hint="eastAsia"/>
          <w:b/>
          <w:color w:val="0070C0"/>
          <w:spacing w:val="15"/>
          <w:sz w:val="28"/>
          <w:szCs w:val="28"/>
        </w:rPr>
        <w:t>第十八</w:t>
      </w:r>
      <w:r w:rsidR="00484D9B" w:rsidRPr="000E030B">
        <w:rPr>
          <w:rFonts w:ascii="標楷體" w:eastAsia="標楷體" w:hAnsi="標楷體" w:hint="eastAsia"/>
          <w:b/>
          <w:color w:val="0070C0"/>
          <w:spacing w:val="15"/>
          <w:sz w:val="28"/>
          <w:szCs w:val="28"/>
        </w:rPr>
        <w:t>條</w:t>
      </w:r>
      <w:r w:rsidR="00545CDE">
        <w:rPr>
          <w:rFonts w:ascii="標楷體" w:eastAsia="標楷體" w:hAnsi="標楷體" w:hint="eastAsia"/>
          <w:b/>
          <w:spacing w:val="15"/>
          <w:sz w:val="28"/>
          <w:szCs w:val="28"/>
        </w:rPr>
        <w:t xml:space="preserve">   </w:t>
      </w:r>
      <w:r w:rsidR="00484D9B" w:rsidRPr="000E030B">
        <w:rPr>
          <w:rFonts w:ascii="標楷體" w:eastAsia="標楷體" w:hAnsi="標楷體" w:cs="Times New Roman" w:hint="eastAsia"/>
          <w:color w:val="0070C0"/>
          <w:sz w:val="28"/>
          <w:szCs w:val="28"/>
        </w:rPr>
        <w:t>大陸地區法人、團體或其他機構，或陸資公司依第九條規定取得或設定不動產物權，應依核定之投資計畫期限及用途使用；其因故未能依核定期限使用者，應敘明原因，向中央目的事業主管機關申請同意展期。</w:t>
      </w:r>
    </w:p>
    <w:p w:rsidR="00484D9B" w:rsidRPr="000E030B" w:rsidRDefault="00484D9B" w:rsidP="000A1E58">
      <w:pPr>
        <w:pStyle w:val="HTML"/>
        <w:tabs>
          <w:tab w:val="clear" w:pos="916"/>
          <w:tab w:val="clear" w:pos="1832"/>
        </w:tabs>
        <w:spacing w:line="520" w:lineRule="exact"/>
        <w:ind w:leftChars="529" w:left="1270" w:firstLineChars="1" w:firstLine="3"/>
        <w:jc w:val="both"/>
        <w:rPr>
          <w:rFonts w:ascii="標楷體" w:eastAsia="標楷體" w:hAnsi="標楷體" w:cs="Times New Roman"/>
          <w:color w:val="0070C0"/>
          <w:kern w:val="2"/>
          <w:sz w:val="28"/>
          <w:szCs w:val="28"/>
        </w:rPr>
      </w:pPr>
      <w:r w:rsidRPr="000E030B">
        <w:rPr>
          <w:rFonts w:ascii="標楷體" w:eastAsia="標楷體" w:hAnsi="標楷體" w:cs="Times New Roman" w:hint="eastAsia"/>
          <w:color w:val="0070C0"/>
          <w:kern w:val="2"/>
          <w:sz w:val="28"/>
          <w:szCs w:val="28"/>
        </w:rPr>
        <w:t xml:space="preserve">   </w:t>
      </w:r>
      <w:r w:rsidR="00545CDE" w:rsidRPr="000E030B">
        <w:rPr>
          <w:rFonts w:ascii="標楷體" w:eastAsia="標楷體" w:hAnsi="標楷體" w:cs="Times New Roman" w:hint="eastAsia"/>
          <w:color w:val="0070C0"/>
          <w:kern w:val="2"/>
          <w:sz w:val="28"/>
          <w:szCs w:val="28"/>
        </w:rPr>
        <w:t xml:space="preserve"> </w:t>
      </w:r>
      <w:r w:rsidRPr="000E030B">
        <w:rPr>
          <w:rFonts w:ascii="標楷體" w:eastAsia="標楷體" w:hAnsi="標楷體" w:cs="Times New Roman" w:hint="eastAsia"/>
          <w:color w:val="0070C0"/>
          <w:kern w:val="2"/>
          <w:sz w:val="28"/>
          <w:szCs w:val="28"/>
        </w:rPr>
        <w:t>中央目的事業主管機關，應定期稽查其取得、設定不動產物權後之使用情形，並依下列方式處理：</w:t>
      </w:r>
    </w:p>
    <w:p w:rsidR="00DC7F5A" w:rsidRPr="000E030B" w:rsidRDefault="00484D9B" w:rsidP="000A1E58">
      <w:pPr>
        <w:pStyle w:val="a3"/>
        <w:numPr>
          <w:ilvl w:val="0"/>
          <w:numId w:val="5"/>
        </w:numPr>
        <w:spacing w:line="520" w:lineRule="exact"/>
        <w:ind w:leftChars="0"/>
        <w:jc w:val="both"/>
        <w:rPr>
          <w:rFonts w:ascii="標楷體" w:eastAsia="標楷體" w:hAnsi="標楷體" w:cs="新細明體"/>
          <w:color w:val="0070C0"/>
          <w:spacing w:val="15"/>
          <w:kern w:val="0"/>
          <w:sz w:val="28"/>
          <w:szCs w:val="28"/>
        </w:rPr>
      </w:pPr>
      <w:r w:rsidRPr="000E030B">
        <w:rPr>
          <w:rFonts w:ascii="標楷體" w:eastAsia="標楷體" w:hAnsi="標楷體" w:cs="Times New Roman" w:hint="eastAsia"/>
          <w:color w:val="0070C0"/>
          <w:sz w:val="28"/>
          <w:szCs w:val="28"/>
        </w:rPr>
        <w:lastRenderedPageBreak/>
        <w:t>未依核定期限使用者，應通知內政部廢止其許可，並由內政部通知直轄市、縣（市）政府限期令其於二年內移轉。</w:t>
      </w:r>
    </w:p>
    <w:p w:rsidR="00DC7F5A" w:rsidRPr="000E030B" w:rsidRDefault="00484D9B" w:rsidP="000A1E58">
      <w:pPr>
        <w:pStyle w:val="a3"/>
        <w:numPr>
          <w:ilvl w:val="0"/>
          <w:numId w:val="5"/>
        </w:numPr>
        <w:spacing w:line="520" w:lineRule="exact"/>
        <w:ind w:leftChars="0"/>
        <w:jc w:val="both"/>
        <w:rPr>
          <w:rFonts w:ascii="標楷體" w:eastAsia="標楷體" w:hAnsi="標楷體" w:cs="新細明體"/>
          <w:color w:val="0070C0"/>
          <w:spacing w:val="15"/>
          <w:kern w:val="0"/>
          <w:sz w:val="28"/>
          <w:szCs w:val="28"/>
        </w:rPr>
      </w:pPr>
      <w:r w:rsidRPr="000E030B">
        <w:rPr>
          <w:rFonts w:ascii="標楷體" w:eastAsia="標楷體" w:hAnsi="標楷體" w:cs="Times New Roman" w:hint="eastAsia"/>
          <w:color w:val="0070C0"/>
          <w:sz w:val="28"/>
          <w:szCs w:val="28"/>
        </w:rPr>
        <w:t>有與核准計畫用途使用情形不符之情事者，應予制止，通知內政部廢止其許可，並由內政部通知直轄市、縣（市）政府限期令其於一年內移轉。</w:t>
      </w:r>
    </w:p>
    <w:p w:rsidR="00484D9B" w:rsidRPr="000E030B" w:rsidRDefault="00484D9B" w:rsidP="000A1E58">
      <w:pPr>
        <w:pStyle w:val="a3"/>
        <w:numPr>
          <w:ilvl w:val="0"/>
          <w:numId w:val="5"/>
        </w:numPr>
        <w:spacing w:line="520" w:lineRule="exact"/>
        <w:ind w:leftChars="0"/>
        <w:jc w:val="both"/>
        <w:rPr>
          <w:rFonts w:ascii="標楷體" w:eastAsia="標楷體" w:hAnsi="標楷體" w:cs="新細明體"/>
          <w:color w:val="0070C0"/>
          <w:spacing w:val="15"/>
          <w:kern w:val="0"/>
          <w:sz w:val="28"/>
          <w:szCs w:val="28"/>
        </w:rPr>
      </w:pPr>
      <w:r w:rsidRPr="000E030B">
        <w:rPr>
          <w:rFonts w:ascii="標楷體" w:eastAsia="標楷體" w:hAnsi="標楷體" w:cs="Times New Roman" w:hint="eastAsia"/>
          <w:color w:val="0070C0"/>
          <w:sz w:val="28"/>
          <w:szCs w:val="28"/>
        </w:rPr>
        <w:t>有違反土地使用分區管制相關法令規定之使用者，應予制止，通知內政部廢止其許可，並由內政部通知直轄市、縣（市）政府限期令其於六個月內移轉。</w:t>
      </w:r>
    </w:p>
    <w:p w:rsidR="002F1F85" w:rsidRPr="000E030B" w:rsidRDefault="00AD6A84" w:rsidP="00AD6A84">
      <w:pPr>
        <w:spacing w:line="520" w:lineRule="exact"/>
        <w:ind w:leftChars="192" w:left="1273" w:hangingChars="290" w:hanging="812"/>
        <w:jc w:val="both"/>
        <w:rPr>
          <w:rFonts w:ascii="標楷體" w:eastAsia="標楷體" w:hAnsi="標楷體" w:cs="Times New Roman"/>
          <w:color w:val="0070C0"/>
          <w:sz w:val="28"/>
          <w:szCs w:val="28"/>
        </w:rPr>
      </w:pPr>
      <w:r w:rsidRPr="000E030B">
        <w:rPr>
          <w:rFonts w:ascii="標楷體" w:eastAsia="標楷體" w:hAnsi="標楷體" w:cs="Times New Roman" w:hint="eastAsia"/>
          <w:color w:val="0070C0"/>
          <w:sz w:val="28"/>
          <w:szCs w:val="28"/>
        </w:rPr>
        <w:t xml:space="preserve">         </w:t>
      </w:r>
      <w:r w:rsidR="00484D9B" w:rsidRPr="000E030B">
        <w:rPr>
          <w:rFonts w:ascii="標楷體" w:eastAsia="標楷體" w:hAnsi="標楷體" w:cs="Times New Roman" w:hint="eastAsia"/>
          <w:color w:val="0070C0"/>
          <w:sz w:val="28"/>
          <w:szCs w:val="28"/>
        </w:rPr>
        <w:t>內政部依前項各款規定廢止許可時，應副知有關機關。</w:t>
      </w:r>
    </w:p>
    <w:p w:rsidR="00484D9B" w:rsidRPr="000E030B" w:rsidRDefault="002F1F85" w:rsidP="000A1E58">
      <w:pPr>
        <w:pStyle w:val="HTML"/>
        <w:tabs>
          <w:tab w:val="clear" w:pos="916"/>
          <w:tab w:val="clear" w:pos="1832"/>
        </w:tabs>
        <w:spacing w:line="520" w:lineRule="exact"/>
        <w:ind w:leftChars="-15" w:left="1276" w:hangingChars="423" w:hanging="1312"/>
        <w:jc w:val="both"/>
        <w:rPr>
          <w:rFonts w:ascii="標楷體" w:eastAsia="標楷體" w:hAnsi="標楷體" w:cs="Times New Roman"/>
          <w:color w:val="0070C0"/>
          <w:kern w:val="2"/>
          <w:sz w:val="28"/>
          <w:szCs w:val="28"/>
        </w:rPr>
      </w:pPr>
      <w:r w:rsidRPr="000E030B">
        <w:rPr>
          <w:rFonts w:ascii="標楷體" w:eastAsia="標楷體" w:hAnsi="標楷體" w:hint="eastAsia"/>
          <w:b/>
          <w:color w:val="0070C0"/>
          <w:spacing w:val="15"/>
          <w:sz w:val="28"/>
          <w:szCs w:val="28"/>
        </w:rPr>
        <w:t>第十九</w:t>
      </w:r>
      <w:r w:rsidR="00484D9B" w:rsidRPr="000E030B">
        <w:rPr>
          <w:rFonts w:ascii="標楷體" w:eastAsia="標楷體" w:hAnsi="標楷體" w:hint="eastAsia"/>
          <w:b/>
          <w:color w:val="0070C0"/>
          <w:spacing w:val="15"/>
          <w:sz w:val="28"/>
          <w:szCs w:val="28"/>
        </w:rPr>
        <w:t>條</w:t>
      </w:r>
      <w:r w:rsidR="00DC7F5A">
        <w:rPr>
          <w:rFonts w:ascii="標楷體" w:eastAsia="標楷體" w:hAnsi="標楷體" w:hint="eastAsia"/>
          <w:b/>
          <w:spacing w:val="15"/>
          <w:sz w:val="28"/>
          <w:szCs w:val="28"/>
        </w:rPr>
        <w:t xml:space="preserve">   </w:t>
      </w:r>
      <w:r w:rsidR="00484D9B" w:rsidRPr="000E030B">
        <w:rPr>
          <w:rFonts w:ascii="標楷體" w:eastAsia="標楷體" w:hAnsi="標楷體" w:cs="Times New Roman" w:hint="eastAsia"/>
          <w:color w:val="0070C0"/>
          <w:kern w:val="2"/>
          <w:sz w:val="28"/>
          <w:szCs w:val="28"/>
        </w:rPr>
        <w:t>屆期未依第十七條第一項或前條第二項規定移轉之不動產物權，由土地所在地之直轄市或縣（市）政府逕為標售，所得價款於</w:t>
      </w:r>
      <w:bookmarkStart w:id="0" w:name="_GoBack"/>
      <w:bookmarkEnd w:id="0"/>
      <w:r w:rsidR="00484D9B" w:rsidRPr="000E030B">
        <w:rPr>
          <w:rFonts w:ascii="標楷體" w:eastAsia="標楷體" w:hAnsi="標楷體" w:cs="Times New Roman" w:hint="eastAsia"/>
          <w:color w:val="0070C0"/>
          <w:kern w:val="2"/>
          <w:sz w:val="28"/>
          <w:szCs w:val="28"/>
        </w:rPr>
        <w:t>扣除應納稅賦及百分之八行政處理費後，發還原權利人</w:t>
      </w:r>
      <w:r w:rsidR="00DC7F5A" w:rsidRPr="000E030B">
        <w:rPr>
          <w:rFonts w:ascii="標楷體" w:eastAsia="標楷體" w:hAnsi="標楷體" w:cs="Times New Roman" w:hint="eastAsia"/>
          <w:color w:val="0070C0"/>
          <w:kern w:val="2"/>
          <w:sz w:val="28"/>
          <w:szCs w:val="28"/>
        </w:rPr>
        <w:t>；</w:t>
      </w:r>
      <w:r w:rsidR="00484D9B" w:rsidRPr="000E030B">
        <w:rPr>
          <w:rFonts w:ascii="標楷體" w:eastAsia="標楷體" w:hAnsi="標楷體" w:cs="Times New Roman" w:hint="eastAsia"/>
          <w:color w:val="0070C0"/>
          <w:kern w:val="2"/>
          <w:sz w:val="28"/>
          <w:szCs w:val="28"/>
        </w:rPr>
        <w:t>其土地上有改良物者，得併同標售。</w:t>
      </w:r>
    </w:p>
    <w:p w:rsidR="00484D9B" w:rsidRPr="00343674" w:rsidRDefault="00D27C64" w:rsidP="000A1E58">
      <w:pPr>
        <w:spacing w:line="520" w:lineRule="exact"/>
        <w:ind w:leftChars="531" w:left="1274" w:firstLineChars="202" w:firstLine="566"/>
        <w:jc w:val="both"/>
        <w:rPr>
          <w:rFonts w:ascii="標楷體" w:eastAsia="標楷體" w:hAnsi="標楷體" w:cs="Times New Roman"/>
          <w:sz w:val="28"/>
          <w:szCs w:val="28"/>
        </w:rPr>
      </w:pPr>
      <w:r w:rsidRPr="000E030B">
        <w:rPr>
          <w:rFonts w:ascii="標楷體" w:eastAsia="標楷體" w:hAnsi="標楷體" w:cs="Times New Roman" w:hint="eastAsia"/>
          <w:color w:val="0070C0"/>
          <w:sz w:val="28"/>
          <w:szCs w:val="28"/>
        </w:rPr>
        <w:t>前項標售之處理程序、價款計算、異議處理及其他應遵行事項，準用依土地法第二十條第四項所定之標售辦法辦理。</w:t>
      </w:r>
      <w:r w:rsidR="00484D9B" w:rsidRPr="00343674">
        <w:rPr>
          <w:rFonts w:ascii="標楷體" w:eastAsia="標楷體" w:hAnsi="標楷體" w:cs="Times New Roman" w:hint="eastAsia"/>
          <w:sz w:val="28"/>
          <w:szCs w:val="28"/>
        </w:rPr>
        <w:t xml:space="preserve">     </w:t>
      </w:r>
    </w:p>
    <w:p w:rsidR="00484D9B" w:rsidRPr="00473F94" w:rsidRDefault="002F1F85" w:rsidP="000A1E58">
      <w:pPr>
        <w:spacing w:line="520" w:lineRule="exact"/>
        <w:ind w:left="931" w:hangingChars="300" w:hanging="931"/>
        <w:jc w:val="both"/>
        <w:rPr>
          <w:rFonts w:ascii="標楷體" w:eastAsia="標楷體" w:hAnsi="標楷體" w:cs="Times New Roman"/>
          <w:color w:val="0070C0"/>
          <w:sz w:val="28"/>
          <w:szCs w:val="28"/>
        </w:rPr>
      </w:pPr>
      <w:r w:rsidRPr="00473F94">
        <w:rPr>
          <w:rFonts w:ascii="標楷體" w:eastAsia="標楷體" w:hAnsi="標楷體" w:hint="eastAsia"/>
          <w:b/>
          <w:color w:val="0070C0"/>
          <w:spacing w:val="15"/>
          <w:sz w:val="28"/>
          <w:szCs w:val="28"/>
        </w:rPr>
        <w:t>第二十</w:t>
      </w:r>
      <w:r w:rsidR="00484D9B" w:rsidRPr="00473F94">
        <w:rPr>
          <w:rFonts w:ascii="標楷體" w:eastAsia="標楷體" w:hAnsi="標楷體" w:hint="eastAsia"/>
          <w:b/>
          <w:color w:val="0070C0"/>
          <w:spacing w:val="15"/>
          <w:sz w:val="28"/>
          <w:szCs w:val="28"/>
        </w:rPr>
        <w:t xml:space="preserve">條  </w:t>
      </w:r>
      <w:r w:rsidR="00DC7F5A">
        <w:rPr>
          <w:rFonts w:ascii="標楷體" w:eastAsia="標楷體" w:hAnsi="標楷體" w:hint="eastAsia"/>
          <w:b/>
          <w:spacing w:val="15"/>
          <w:sz w:val="28"/>
          <w:szCs w:val="28"/>
        </w:rPr>
        <w:t xml:space="preserve"> </w:t>
      </w:r>
      <w:r w:rsidR="00484D9B" w:rsidRPr="00473F94">
        <w:rPr>
          <w:rFonts w:ascii="標楷體" w:eastAsia="標楷體" w:hAnsi="標楷體" w:cs="Times New Roman" w:hint="eastAsia"/>
          <w:color w:val="0070C0"/>
          <w:sz w:val="28"/>
          <w:szCs w:val="28"/>
        </w:rPr>
        <w:t>本辦法所定申請書、表格式，由內政部定之。</w:t>
      </w:r>
    </w:p>
    <w:p w:rsidR="00484D9B" w:rsidRPr="00473F94" w:rsidRDefault="00484D9B" w:rsidP="000A1E58">
      <w:pPr>
        <w:spacing w:line="520" w:lineRule="exact"/>
        <w:ind w:left="931" w:hangingChars="300" w:hanging="931"/>
        <w:jc w:val="both"/>
        <w:rPr>
          <w:rFonts w:ascii="標楷體" w:eastAsia="標楷體" w:hAnsi="標楷體" w:cs="Times New Roman"/>
          <w:color w:val="0070C0"/>
          <w:sz w:val="28"/>
          <w:szCs w:val="28"/>
        </w:rPr>
      </w:pPr>
      <w:r w:rsidRPr="00473F94">
        <w:rPr>
          <w:rFonts w:ascii="標楷體" w:eastAsia="標楷體" w:hAnsi="標楷體" w:hint="eastAsia"/>
          <w:b/>
          <w:color w:val="0070C0"/>
          <w:spacing w:val="15"/>
          <w:sz w:val="28"/>
          <w:szCs w:val="28"/>
        </w:rPr>
        <w:t xml:space="preserve">第二十一條  </w:t>
      </w:r>
      <w:r w:rsidR="00DC7F5A" w:rsidRPr="00473F94">
        <w:rPr>
          <w:rFonts w:ascii="標楷體" w:eastAsia="標楷體" w:hAnsi="標楷體" w:hint="eastAsia"/>
          <w:b/>
          <w:color w:val="0070C0"/>
          <w:spacing w:val="15"/>
          <w:sz w:val="28"/>
          <w:szCs w:val="28"/>
        </w:rPr>
        <w:t xml:space="preserve"> </w:t>
      </w:r>
      <w:r w:rsidRPr="00473F94">
        <w:rPr>
          <w:rFonts w:ascii="標楷體" w:eastAsia="標楷體" w:hAnsi="標楷體" w:cs="Times New Roman" w:hint="eastAsia"/>
          <w:color w:val="0070C0"/>
          <w:sz w:val="28"/>
          <w:szCs w:val="28"/>
        </w:rPr>
        <w:t>本辦法自發布日施行。</w:t>
      </w:r>
    </w:p>
    <w:p w:rsidR="00484D9B" w:rsidRPr="00484D9B" w:rsidRDefault="00484D9B" w:rsidP="000A1E58">
      <w:pPr>
        <w:spacing w:line="520" w:lineRule="exact"/>
        <w:ind w:left="930" w:hangingChars="300" w:hanging="930"/>
        <w:jc w:val="both"/>
        <w:rPr>
          <w:rFonts w:ascii="標楷體" w:eastAsia="標楷體" w:hAnsi="標楷體"/>
          <w:color w:val="000000"/>
          <w:spacing w:val="15"/>
          <w:sz w:val="28"/>
          <w:szCs w:val="28"/>
        </w:rPr>
      </w:pPr>
    </w:p>
    <w:p w:rsidR="002F1F85" w:rsidRPr="002F1F85" w:rsidRDefault="002F1F85" w:rsidP="000A1E58">
      <w:pPr>
        <w:spacing w:line="520" w:lineRule="exact"/>
        <w:jc w:val="both"/>
      </w:pPr>
    </w:p>
    <w:sectPr w:rsidR="002F1F85" w:rsidRPr="002F1F85" w:rsidSect="00A05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A0" w:rsidRDefault="00B821A0" w:rsidP="00556DD7">
      <w:r>
        <w:separator/>
      </w:r>
    </w:p>
  </w:endnote>
  <w:endnote w:type="continuationSeparator" w:id="0">
    <w:p w:rsidR="00B821A0" w:rsidRDefault="00B821A0" w:rsidP="0055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A0" w:rsidRDefault="00B821A0" w:rsidP="00556DD7">
      <w:r>
        <w:separator/>
      </w:r>
    </w:p>
  </w:footnote>
  <w:footnote w:type="continuationSeparator" w:id="0">
    <w:p w:rsidR="00B821A0" w:rsidRDefault="00B821A0" w:rsidP="00556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693E"/>
    <w:multiLevelType w:val="hybridMultilevel"/>
    <w:tmpl w:val="6256F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A44189"/>
    <w:multiLevelType w:val="hybridMultilevel"/>
    <w:tmpl w:val="8D58CA86"/>
    <w:lvl w:ilvl="0" w:tplc="0FB044A4">
      <w:start w:val="1"/>
      <w:numFmt w:val="taiwaneseCountingThousand"/>
      <w:lvlText w:val="%1、"/>
      <w:lvlJc w:val="left"/>
      <w:pPr>
        <w:ind w:left="3360" w:hanging="720"/>
      </w:pPr>
      <w:rPr>
        <w:rFonts w:ascii="標楷體" w:eastAsia="標楷體" w:hAnsi="標楷體" w:cs="Times New Roman"/>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2" w15:restartNumberingAfterBreak="0">
    <w:nsid w:val="1DB42A15"/>
    <w:multiLevelType w:val="hybridMultilevel"/>
    <w:tmpl w:val="2988A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CC6FE0"/>
    <w:multiLevelType w:val="hybridMultilevel"/>
    <w:tmpl w:val="719AC0A2"/>
    <w:lvl w:ilvl="0" w:tplc="4D02B1BE">
      <w:start w:val="1"/>
      <w:numFmt w:val="taiwaneseCountingThousand"/>
      <w:lvlText w:val="第%1條"/>
      <w:lvlJc w:val="left"/>
      <w:pPr>
        <w:ind w:left="1560" w:hanging="15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847536"/>
    <w:multiLevelType w:val="hybridMultilevel"/>
    <w:tmpl w:val="157ECAA0"/>
    <w:lvl w:ilvl="0" w:tplc="D1B6C500">
      <w:start w:val="1"/>
      <w:numFmt w:val="taiwaneseCountingThousand"/>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5" w15:restartNumberingAfterBreak="0">
    <w:nsid w:val="33A75286"/>
    <w:multiLevelType w:val="hybridMultilevel"/>
    <w:tmpl w:val="8048AC9A"/>
    <w:lvl w:ilvl="0" w:tplc="E0523CA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7627863"/>
    <w:multiLevelType w:val="hybridMultilevel"/>
    <w:tmpl w:val="52305DA6"/>
    <w:lvl w:ilvl="0" w:tplc="1FA2EE1C">
      <w:start w:val="1"/>
      <w:numFmt w:val="taiwaneseCountingThousand"/>
      <w:lvlText w:val="%1、"/>
      <w:lvlJc w:val="left"/>
      <w:pPr>
        <w:ind w:left="2563" w:hanging="720"/>
      </w:pPr>
      <w:rPr>
        <w:rFonts w:cs="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37BF60F8"/>
    <w:multiLevelType w:val="hybridMultilevel"/>
    <w:tmpl w:val="FFD4F41A"/>
    <w:lvl w:ilvl="0" w:tplc="9B50B20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7CC4461"/>
    <w:multiLevelType w:val="hybridMultilevel"/>
    <w:tmpl w:val="60947BEA"/>
    <w:lvl w:ilvl="0" w:tplc="922E9032">
      <w:start w:val="1"/>
      <w:numFmt w:val="taiwaneseCountingThousand"/>
      <w:lvlText w:val="%1、"/>
      <w:lvlJc w:val="left"/>
      <w:pPr>
        <w:ind w:left="1755" w:hanging="720"/>
      </w:pPr>
      <w:rPr>
        <w:rFonts w:cs="新細明體" w:hint="default"/>
        <w:color w:val="auto"/>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9" w15:restartNumberingAfterBreak="0">
    <w:nsid w:val="7EAF45B6"/>
    <w:multiLevelType w:val="hybridMultilevel"/>
    <w:tmpl w:val="216C866C"/>
    <w:lvl w:ilvl="0" w:tplc="73F04728">
      <w:start w:val="1"/>
      <w:numFmt w:val="taiwaneseCountingThousand"/>
      <w:lvlText w:val="%1、"/>
      <w:lvlJc w:val="left"/>
      <w:pPr>
        <w:ind w:left="1755" w:hanging="72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0" w15:restartNumberingAfterBreak="0">
    <w:nsid w:val="7EDA536D"/>
    <w:multiLevelType w:val="hybridMultilevel"/>
    <w:tmpl w:val="9094EA8A"/>
    <w:lvl w:ilvl="0" w:tplc="D1B6C500">
      <w:start w:val="1"/>
      <w:numFmt w:val="taiwaneseCountingThousand"/>
      <w:lvlText w:val="%1、"/>
      <w:lvlJc w:val="left"/>
      <w:pPr>
        <w:ind w:left="25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9"/>
  </w:num>
  <w:num w:numId="4">
    <w:abstractNumId w:val="8"/>
  </w:num>
  <w:num w:numId="5">
    <w:abstractNumId w:val="6"/>
  </w:num>
  <w:num w:numId="6">
    <w:abstractNumId w:val="0"/>
  </w:num>
  <w:num w:numId="7">
    <w:abstractNumId w:val="5"/>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24"/>
    <w:rsid w:val="0003754F"/>
    <w:rsid w:val="00052FE1"/>
    <w:rsid w:val="000A1E58"/>
    <w:rsid w:val="000A71C8"/>
    <w:rsid w:val="000E030B"/>
    <w:rsid w:val="00104AAE"/>
    <w:rsid w:val="00120716"/>
    <w:rsid w:val="00143EFD"/>
    <w:rsid w:val="002129C9"/>
    <w:rsid w:val="002B79A9"/>
    <w:rsid w:val="002F1F85"/>
    <w:rsid w:val="003137E0"/>
    <w:rsid w:val="00343674"/>
    <w:rsid w:val="00353C8A"/>
    <w:rsid w:val="00357EAF"/>
    <w:rsid w:val="0038086D"/>
    <w:rsid w:val="00391DD7"/>
    <w:rsid w:val="003A6AB5"/>
    <w:rsid w:val="003C188D"/>
    <w:rsid w:val="003D674F"/>
    <w:rsid w:val="003D7B38"/>
    <w:rsid w:val="00473F94"/>
    <w:rsid w:val="00484D9B"/>
    <w:rsid w:val="00545CDE"/>
    <w:rsid w:val="0054696A"/>
    <w:rsid w:val="00556DD7"/>
    <w:rsid w:val="00566C44"/>
    <w:rsid w:val="005957D6"/>
    <w:rsid w:val="0061385E"/>
    <w:rsid w:val="0062317D"/>
    <w:rsid w:val="006657FA"/>
    <w:rsid w:val="006C2024"/>
    <w:rsid w:val="006D75EE"/>
    <w:rsid w:val="006E16B2"/>
    <w:rsid w:val="006F28F0"/>
    <w:rsid w:val="00755A2A"/>
    <w:rsid w:val="00777E5C"/>
    <w:rsid w:val="00780DB3"/>
    <w:rsid w:val="007A3B17"/>
    <w:rsid w:val="00823579"/>
    <w:rsid w:val="008244F1"/>
    <w:rsid w:val="00866B89"/>
    <w:rsid w:val="00925818"/>
    <w:rsid w:val="009665F2"/>
    <w:rsid w:val="0096762C"/>
    <w:rsid w:val="009C1362"/>
    <w:rsid w:val="009E0015"/>
    <w:rsid w:val="00A118EC"/>
    <w:rsid w:val="00A14D77"/>
    <w:rsid w:val="00A32347"/>
    <w:rsid w:val="00A36B48"/>
    <w:rsid w:val="00A84747"/>
    <w:rsid w:val="00AA656D"/>
    <w:rsid w:val="00AD6A84"/>
    <w:rsid w:val="00B821A0"/>
    <w:rsid w:val="00B900B9"/>
    <w:rsid w:val="00B95123"/>
    <w:rsid w:val="00C23687"/>
    <w:rsid w:val="00C70B29"/>
    <w:rsid w:val="00CC44E8"/>
    <w:rsid w:val="00CD5B8E"/>
    <w:rsid w:val="00D23D0C"/>
    <w:rsid w:val="00D27C64"/>
    <w:rsid w:val="00D370D0"/>
    <w:rsid w:val="00D44ECF"/>
    <w:rsid w:val="00D467BD"/>
    <w:rsid w:val="00D76569"/>
    <w:rsid w:val="00DC7F5A"/>
    <w:rsid w:val="00E2680B"/>
    <w:rsid w:val="00E31740"/>
    <w:rsid w:val="00E4638F"/>
    <w:rsid w:val="00E50D6E"/>
    <w:rsid w:val="00E613E2"/>
    <w:rsid w:val="00EC5A12"/>
    <w:rsid w:val="00EE5DAD"/>
    <w:rsid w:val="00F74AEB"/>
    <w:rsid w:val="00F87FA1"/>
    <w:rsid w:val="00FC2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C1AAD-EE71-496D-98C9-9950F11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0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024"/>
    <w:pPr>
      <w:ind w:leftChars="200" w:left="480"/>
    </w:pPr>
  </w:style>
  <w:style w:type="paragraph" w:styleId="a4">
    <w:name w:val="header"/>
    <w:basedOn w:val="a"/>
    <w:link w:val="a5"/>
    <w:uiPriority w:val="99"/>
    <w:unhideWhenUsed/>
    <w:rsid w:val="00556DD7"/>
    <w:pPr>
      <w:tabs>
        <w:tab w:val="center" w:pos="4153"/>
        <w:tab w:val="right" w:pos="8306"/>
      </w:tabs>
      <w:snapToGrid w:val="0"/>
    </w:pPr>
    <w:rPr>
      <w:sz w:val="20"/>
      <w:szCs w:val="20"/>
    </w:rPr>
  </w:style>
  <w:style w:type="character" w:customStyle="1" w:styleId="a5">
    <w:name w:val="頁首 字元"/>
    <w:basedOn w:val="a0"/>
    <w:link w:val="a4"/>
    <w:uiPriority w:val="99"/>
    <w:rsid w:val="00556DD7"/>
    <w:rPr>
      <w:sz w:val="20"/>
      <w:szCs w:val="20"/>
    </w:rPr>
  </w:style>
  <w:style w:type="paragraph" w:styleId="a6">
    <w:name w:val="footer"/>
    <w:basedOn w:val="a"/>
    <w:link w:val="a7"/>
    <w:uiPriority w:val="99"/>
    <w:unhideWhenUsed/>
    <w:rsid w:val="00556DD7"/>
    <w:pPr>
      <w:tabs>
        <w:tab w:val="center" w:pos="4153"/>
        <w:tab w:val="right" w:pos="8306"/>
      </w:tabs>
      <w:snapToGrid w:val="0"/>
    </w:pPr>
    <w:rPr>
      <w:sz w:val="20"/>
      <w:szCs w:val="20"/>
    </w:rPr>
  </w:style>
  <w:style w:type="character" w:customStyle="1" w:styleId="a7">
    <w:name w:val="頁尾 字元"/>
    <w:basedOn w:val="a0"/>
    <w:link w:val="a6"/>
    <w:uiPriority w:val="99"/>
    <w:rsid w:val="00556DD7"/>
    <w:rPr>
      <w:sz w:val="20"/>
      <w:szCs w:val="20"/>
    </w:rPr>
  </w:style>
  <w:style w:type="paragraph" w:styleId="HTML">
    <w:name w:val="HTML Preformatted"/>
    <w:basedOn w:val="a"/>
    <w:link w:val="HTML0"/>
    <w:uiPriority w:val="99"/>
    <w:rsid w:val="003D7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D7B38"/>
    <w:rPr>
      <w:rFonts w:ascii="細明體" w:eastAsia="細明體" w:hAnsi="細明體" w:cs="細明體"/>
      <w:kern w:val="0"/>
      <w:szCs w:val="24"/>
    </w:rPr>
  </w:style>
  <w:style w:type="paragraph" w:styleId="a8">
    <w:name w:val="Balloon Text"/>
    <w:basedOn w:val="a"/>
    <w:link w:val="a9"/>
    <w:uiPriority w:val="99"/>
    <w:semiHidden/>
    <w:unhideWhenUsed/>
    <w:rsid w:val="00566C4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6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3DEA5-95EE-4BDF-AA26-7D6FDDA1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538</Words>
  <Characters>3071</Characters>
  <Application>Microsoft Office Word</Application>
  <DocSecurity>0</DocSecurity>
  <Lines>25</Lines>
  <Paragraphs>7</Paragraphs>
  <ScaleCrop>false</ScaleCrop>
  <Company>EY</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曾凡玲</cp:lastModifiedBy>
  <cp:revision>12</cp:revision>
  <cp:lastPrinted>2017-05-11T08:09:00Z</cp:lastPrinted>
  <dcterms:created xsi:type="dcterms:W3CDTF">2017-06-01T01:12:00Z</dcterms:created>
  <dcterms:modified xsi:type="dcterms:W3CDTF">2017-06-09T03:53:00Z</dcterms:modified>
</cp:coreProperties>
</file>