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r w:rsidRPr="00CB2B1C">
        <w:rPr>
          <w:rFonts w:ascii="標楷體" w:eastAsia="標楷體" w:hAnsi="標楷體" w:hint="eastAsia"/>
          <w:color w:val="000000"/>
          <w:sz w:val="27"/>
          <w:szCs w:val="27"/>
        </w:rPr>
        <w:t>內政部　令</w:t>
      </w:r>
      <w:r w:rsidRPr="00CB2B1C">
        <w:rPr>
          <w:rFonts w:ascii="標楷體" w:eastAsia="標楷體" w:hAnsi="標楷體" w:hint="eastAsia"/>
          <w:color w:val="000000"/>
          <w:sz w:val="27"/>
          <w:szCs w:val="27"/>
        </w:rPr>
        <w:br/>
        <w:t>中華民國112年9月26日</w:t>
      </w:r>
      <w:r w:rsidRPr="00CB2B1C">
        <w:rPr>
          <w:rFonts w:ascii="標楷體" w:eastAsia="標楷體" w:hAnsi="標楷體" w:hint="eastAsia"/>
          <w:color w:val="000000"/>
          <w:sz w:val="27"/>
          <w:szCs w:val="27"/>
        </w:rPr>
        <w:br/>
        <w:t>台內地字第11202658985號</w:t>
      </w:r>
    </w:p>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r w:rsidRPr="00CB2B1C">
        <w:rPr>
          <w:rFonts w:ascii="標楷體" w:eastAsia="標楷體" w:hAnsi="標楷體" w:hint="eastAsia"/>
          <w:color w:val="000000"/>
          <w:sz w:val="27"/>
          <w:szCs w:val="27"/>
        </w:rPr>
        <w:t>修正「</w:t>
      </w:r>
      <w:hyperlink r:id="rId4" w:history="1">
        <w:r w:rsidRPr="00CB2B1C">
          <w:rPr>
            <w:rStyle w:val="a5"/>
            <w:rFonts w:ascii="標楷體" w:eastAsia="標楷體" w:hAnsi="標楷體" w:hint="eastAsia"/>
            <w:color w:val="4E92DF"/>
            <w:sz w:val="27"/>
            <w:szCs w:val="27"/>
          </w:rPr>
          <w:t>地籍</w:t>
        </w:r>
      </w:hyperlink>
      <w:r w:rsidRPr="00CB2B1C">
        <w:rPr>
          <w:rFonts w:ascii="標楷體" w:eastAsia="標楷體" w:hAnsi="標楷體" w:hint="eastAsia"/>
          <w:color w:val="000000"/>
          <w:sz w:val="27"/>
          <w:szCs w:val="27"/>
        </w:rPr>
        <w:t>清理清查辦法」第三條。</w:t>
      </w:r>
      <w:r w:rsidRPr="00CB2B1C">
        <w:rPr>
          <w:rFonts w:ascii="標楷體" w:eastAsia="標楷體" w:hAnsi="標楷體" w:hint="eastAsia"/>
          <w:color w:val="000000"/>
          <w:sz w:val="27"/>
          <w:szCs w:val="27"/>
        </w:rPr>
        <w:br/>
        <w:t>附修正「地籍清理清查辦法」第三條</w:t>
      </w:r>
    </w:p>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bookmarkStart w:id="0" w:name="_GoBack"/>
      <w:bookmarkEnd w:id="0"/>
      <w:r w:rsidRPr="00CB2B1C">
        <w:rPr>
          <w:rFonts w:ascii="標楷體" w:eastAsia="標楷體" w:hAnsi="標楷體" w:hint="eastAsia"/>
          <w:color w:val="000000"/>
          <w:sz w:val="27"/>
          <w:szCs w:val="27"/>
        </w:rPr>
        <w:t>地籍清理清查辦法第三條修正條文</w:t>
      </w:r>
    </w:p>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r w:rsidRPr="00CB2B1C">
        <w:rPr>
          <w:rFonts w:ascii="標楷體" w:eastAsia="標楷體" w:hAnsi="標楷體" w:hint="eastAsia"/>
          <w:color w:val="000000"/>
          <w:sz w:val="27"/>
          <w:szCs w:val="27"/>
        </w:rPr>
        <w:t>第三條</w:t>
      </w:r>
      <w:r w:rsidRPr="00CB2B1C">
        <w:rPr>
          <w:rFonts w:ascii="標楷體" w:eastAsia="標楷體" w:hAnsi="標楷體" w:hint="eastAsia"/>
          <w:color w:val="000000"/>
          <w:sz w:val="27"/>
          <w:szCs w:val="27"/>
        </w:rPr>
        <w:br/>
        <w:t>土地</w:t>
      </w:r>
      <w:proofErr w:type="gramStart"/>
      <w:r w:rsidRPr="00CB2B1C">
        <w:rPr>
          <w:rFonts w:ascii="標楷體" w:eastAsia="標楷體" w:hAnsi="標楷體" w:hint="eastAsia"/>
          <w:color w:val="000000"/>
          <w:sz w:val="27"/>
          <w:szCs w:val="27"/>
        </w:rPr>
        <w:t>地</w:t>
      </w:r>
      <w:proofErr w:type="gramEnd"/>
      <w:r w:rsidRPr="00CB2B1C">
        <w:rPr>
          <w:rFonts w:ascii="標楷體" w:eastAsia="標楷體" w:hAnsi="標楷體" w:hint="eastAsia"/>
          <w:color w:val="000000"/>
          <w:sz w:val="27"/>
          <w:szCs w:val="27"/>
        </w:rPr>
        <w:t>籍清查之分類如下：</w:t>
      </w:r>
      <w:r w:rsidRPr="00CB2B1C">
        <w:rPr>
          <w:rFonts w:ascii="標楷體" w:eastAsia="標楷體" w:hAnsi="標楷體" w:hint="eastAsia"/>
          <w:color w:val="000000"/>
          <w:sz w:val="27"/>
          <w:szCs w:val="27"/>
        </w:rPr>
        <w:br/>
        <w:t>一、本條例第十七條所定以日據時期會社或組合名義登記者。</w:t>
      </w:r>
      <w:r w:rsidRPr="00CB2B1C">
        <w:rPr>
          <w:rFonts w:ascii="標楷體" w:eastAsia="標楷體" w:hAnsi="標楷體" w:hint="eastAsia"/>
          <w:color w:val="000000"/>
          <w:sz w:val="27"/>
          <w:szCs w:val="27"/>
        </w:rPr>
        <w:br/>
        <w:t>二、本條例第十九條所定以</w:t>
      </w:r>
      <w:hyperlink r:id="rId5" w:history="1">
        <w:r w:rsidRPr="00CB2B1C">
          <w:rPr>
            <w:rStyle w:val="a5"/>
            <w:rFonts w:ascii="標楷體" w:eastAsia="標楷體" w:hAnsi="標楷體" w:hint="eastAsia"/>
            <w:color w:val="4E92DF"/>
            <w:sz w:val="27"/>
            <w:szCs w:val="27"/>
          </w:rPr>
          <w:t>神明會</w:t>
        </w:r>
      </w:hyperlink>
      <w:r w:rsidRPr="00CB2B1C">
        <w:rPr>
          <w:rFonts w:ascii="標楷體" w:eastAsia="標楷體" w:hAnsi="標楷體" w:hint="eastAsia"/>
          <w:color w:val="000000"/>
          <w:sz w:val="27"/>
          <w:szCs w:val="27"/>
        </w:rPr>
        <w:t>名義登記者。</w:t>
      </w:r>
      <w:r w:rsidRPr="00CB2B1C">
        <w:rPr>
          <w:rFonts w:ascii="標楷體" w:eastAsia="標楷體" w:hAnsi="標楷體" w:hint="eastAsia"/>
          <w:color w:val="000000"/>
          <w:sz w:val="27"/>
          <w:szCs w:val="27"/>
        </w:rPr>
        <w:br/>
        <w:t>三、本條例第二十五條所定本條例施行前已依有關法令清理之神明會土地，於本條例施行後仍以神明會名義登記者。</w:t>
      </w:r>
      <w:r w:rsidRPr="00CB2B1C">
        <w:rPr>
          <w:rFonts w:ascii="標楷體" w:eastAsia="標楷體" w:hAnsi="標楷體" w:hint="eastAsia"/>
          <w:color w:val="000000"/>
          <w:sz w:val="27"/>
          <w:szCs w:val="27"/>
        </w:rPr>
        <w:br/>
        <w:t>四、本條例第二十六條所定以神明會以外名義登記之土地，具有神明會之性質及事實者。</w:t>
      </w:r>
      <w:r w:rsidRPr="00CB2B1C">
        <w:rPr>
          <w:rFonts w:ascii="標楷體" w:eastAsia="標楷體" w:hAnsi="標楷體" w:hint="eastAsia"/>
          <w:color w:val="000000"/>
          <w:sz w:val="27"/>
          <w:szCs w:val="27"/>
        </w:rPr>
        <w:br/>
        <w:t>五、本條例第二十七條所定中華民國三十八年十二月三十一日以前登記之非以法定不</w:t>
      </w:r>
      <w:hyperlink r:id="rId6" w:tgtFrame="_blank" w:history="1">
        <w:r w:rsidRPr="00CB2B1C">
          <w:rPr>
            <w:rStyle w:val="a5"/>
            <w:rFonts w:ascii="標楷體" w:eastAsia="標楷體" w:hAnsi="標楷體" w:hint="eastAsia"/>
            <w:i/>
            <w:iCs/>
            <w:color w:val="2D5C88"/>
            <w:sz w:val="27"/>
            <w:szCs w:val="27"/>
          </w:rPr>
          <w:t>動產</w:t>
        </w:r>
      </w:hyperlink>
      <w:hyperlink r:id="rId7" w:tgtFrame="_blank" w:history="1">
        <w:r w:rsidRPr="00CB2B1C">
          <w:rPr>
            <w:rStyle w:val="a5"/>
            <w:rFonts w:ascii="標楷體" w:eastAsia="標楷體" w:hAnsi="標楷體" w:hint="eastAsia"/>
            <w:i/>
            <w:iCs/>
            <w:color w:val="2D5C88"/>
            <w:sz w:val="27"/>
            <w:szCs w:val="27"/>
          </w:rPr>
          <w:t>物權</w:t>
        </w:r>
      </w:hyperlink>
      <w:r w:rsidRPr="00CB2B1C">
        <w:rPr>
          <w:rFonts w:ascii="標楷體" w:eastAsia="標楷體" w:hAnsi="標楷體" w:hint="eastAsia"/>
          <w:color w:val="000000"/>
          <w:sz w:val="27"/>
          <w:szCs w:val="27"/>
        </w:rPr>
        <w:t>名稱登記者。</w:t>
      </w:r>
      <w:r w:rsidRPr="00CB2B1C">
        <w:rPr>
          <w:rFonts w:ascii="標楷體" w:eastAsia="標楷體" w:hAnsi="標楷體" w:hint="eastAsia"/>
          <w:color w:val="000000"/>
          <w:sz w:val="27"/>
          <w:szCs w:val="27"/>
        </w:rPr>
        <w:br/>
        <w:t>六、本條例第二十八條所定中華民國三十八年十二月三十一日以前登記之</w:t>
      </w:r>
      <w:hyperlink r:id="rId8" w:history="1">
        <w:r w:rsidRPr="00CB2B1C">
          <w:rPr>
            <w:rStyle w:val="a5"/>
            <w:rFonts w:ascii="標楷體" w:eastAsia="標楷體" w:hAnsi="標楷體" w:hint="eastAsia"/>
            <w:color w:val="4E92DF"/>
            <w:sz w:val="27"/>
            <w:szCs w:val="27"/>
          </w:rPr>
          <w:t>抵押權</w:t>
        </w:r>
      </w:hyperlink>
      <w:r w:rsidRPr="00CB2B1C">
        <w:rPr>
          <w:rFonts w:ascii="標楷體" w:eastAsia="標楷體" w:hAnsi="標楷體" w:hint="eastAsia"/>
          <w:color w:val="000000"/>
          <w:sz w:val="27"/>
          <w:szCs w:val="27"/>
        </w:rPr>
        <w:t>。</w:t>
      </w:r>
      <w:r w:rsidRPr="00CB2B1C">
        <w:rPr>
          <w:rFonts w:ascii="標楷體" w:eastAsia="標楷體" w:hAnsi="標楷體" w:hint="eastAsia"/>
          <w:color w:val="000000"/>
          <w:sz w:val="27"/>
          <w:szCs w:val="27"/>
        </w:rPr>
        <w:br/>
        <w:t>七、本條例第二十九條所定中華民國四十五年十二月三十一日以前登記之</w:t>
      </w:r>
      <w:hyperlink r:id="rId9" w:history="1">
        <w:r w:rsidRPr="00CB2B1C">
          <w:rPr>
            <w:rStyle w:val="a5"/>
            <w:rFonts w:ascii="標楷體" w:eastAsia="標楷體" w:hAnsi="標楷體" w:hint="eastAsia"/>
            <w:color w:val="4E92DF"/>
            <w:sz w:val="27"/>
            <w:szCs w:val="27"/>
          </w:rPr>
          <w:t>地上權</w:t>
        </w:r>
      </w:hyperlink>
      <w:r w:rsidRPr="00CB2B1C">
        <w:rPr>
          <w:rFonts w:ascii="標楷體" w:eastAsia="標楷體" w:hAnsi="標楷體" w:hint="eastAsia"/>
          <w:color w:val="000000"/>
          <w:sz w:val="27"/>
          <w:szCs w:val="27"/>
        </w:rPr>
        <w:t>，未定有期限，且其權利人</w:t>
      </w:r>
      <w:hyperlink r:id="rId10" w:history="1">
        <w:r w:rsidRPr="00CB2B1C">
          <w:rPr>
            <w:rStyle w:val="a5"/>
            <w:rFonts w:ascii="標楷體" w:eastAsia="標楷體" w:hAnsi="標楷體" w:hint="eastAsia"/>
            <w:color w:val="4E92DF"/>
            <w:sz w:val="27"/>
            <w:szCs w:val="27"/>
          </w:rPr>
          <w:t>住所</w:t>
        </w:r>
      </w:hyperlink>
      <w:r w:rsidRPr="00CB2B1C">
        <w:rPr>
          <w:rFonts w:ascii="標楷體" w:eastAsia="標楷體" w:hAnsi="標楷體" w:hint="eastAsia"/>
          <w:color w:val="000000"/>
          <w:sz w:val="27"/>
          <w:szCs w:val="27"/>
        </w:rPr>
        <w:t>不詳或行蹤不明，而地上權人在該土地上無建築改良物或其他工作物者。</w:t>
      </w:r>
      <w:r w:rsidRPr="00CB2B1C">
        <w:rPr>
          <w:rFonts w:ascii="標楷體" w:eastAsia="標楷體" w:hAnsi="標楷體" w:hint="eastAsia"/>
          <w:color w:val="000000"/>
          <w:sz w:val="27"/>
          <w:szCs w:val="27"/>
        </w:rPr>
        <w:br/>
        <w:t>八、本條例第三十條所定中華民國三十四年十月二十四日以前之查封、假</w:t>
      </w:r>
      <w:hyperlink r:id="rId11" w:history="1">
        <w:r w:rsidRPr="00CB2B1C">
          <w:rPr>
            <w:rStyle w:val="a5"/>
            <w:rFonts w:ascii="標楷體" w:eastAsia="標楷體" w:hAnsi="標楷體" w:hint="eastAsia"/>
            <w:color w:val="4E92DF"/>
            <w:sz w:val="27"/>
            <w:szCs w:val="27"/>
          </w:rPr>
          <w:t>扣押</w:t>
        </w:r>
      </w:hyperlink>
      <w:r w:rsidRPr="00CB2B1C">
        <w:rPr>
          <w:rFonts w:ascii="標楷體" w:eastAsia="標楷體" w:hAnsi="標楷體" w:hint="eastAsia"/>
          <w:color w:val="000000"/>
          <w:sz w:val="27"/>
          <w:szCs w:val="27"/>
        </w:rPr>
        <w:t>、</w:t>
      </w:r>
      <w:hyperlink r:id="rId12" w:history="1">
        <w:r w:rsidRPr="00CB2B1C">
          <w:rPr>
            <w:rStyle w:val="a5"/>
            <w:rFonts w:ascii="標楷體" w:eastAsia="標楷體" w:hAnsi="標楷體" w:hint="eastAsia"/>
            <w:color w:val="4E92DF"/>
            <w:sz w:val="27"/>
            <w:szCs w:val="27"/>
          </w:rPr>
          <w:t>假處分</w:t>
        </w:r>
      </w:hyperlink>
      <w:r w:rsidRPr="00CB2B1C">
        <w:rPr>
          <w:rFonts w:ascii="標楷體" w:eastAsia="標楷體" w:hAnsi="標楷體" w:hint="eastAsia"/>
          <w:color w:val="000000"/>
          <w:sz w:val="27"/>
          <w:szCs w:val="27"/>
        </w:rPr>
        <w:t>登記者。</w:t>
      </w:r>
      <w:r w:rsidRPr="00CB2B1C">
        <w:rPr>
          <w:rFonts w:ascii="標楷體" w:eastAsia="標楷體" w:hAnsi="標楷體" w:hint="eastAsia"/>
          <w:color w:val="000000"/>
          <w:sz w:val="27"/>
          <w:szCs w:val="27"/>
        </w:rPr>
        <w:br/>
        <w:t>九、本條例第三十一條所定</w:t>
      </w:r>
      <w:hyperlink r:id="rId13" w:history="1">
        <w:r w:rsidRPr="00CB2B1C">
          <w:rPr>
            <w:rStyle w:val="a5"/>
            <w:rFonts w:ascii="標楷體" w:eastAsia="標楷體" w:hAnsi="標楷體" w:hint="eastAsia"/>
            <w:color w:val="4E92DF"/>
            <w:sz w:val="27"/>
            <w:szCs w:val="27"/>
          </w:rPr>
          <w:t>共有土地</w:t>
        </w:r>
      </w:hyperlink>
      <w:r w:rsidRPr="00CB2B1C">
        <w:rPr>
          <w:rFonts w:ascii="標楷體" w:eastAsia="標楷體" w:hAnsi="標楷體" w:hint="eastAsia"/>
          <w:color w:val="000000"/>
          <w:sz w:val="27"/>
          <w:szCs w:val="27"/>
        </w:rPr>
        <w:t>，各</w:t>
      </w:r>
      <w:hyperlink r:id="rId14" w:history="1">
        <w:r w:rsidRPr="00CB2B1C">
          <w:rPr>
            <w:rStyle w:val="a5"/>
            <w:rFonts w:ascii="標楷體" w:eastAsia="標楷體" w:hAnsi="標楷體" w:hint="eastAsia"/>
            <w:color w:val="4E92DF"/>
            <w:sz w:val="27"/>
            <w:szCs w:val="27"/>
          </w:rPr>
          <w:t>共有</w:t>
        </w:r>
      </w:hyperlink>
      <w:r w:rsidRPr="00CB2B1C">
        <w:rPr>
          <w:rFonts w:ascii="標楷體" w:eastAsia="標楷體" w:hAnsi="標楷體" w:hint="eastAsia"/>
          <w:color w:val="000000"/>
          <w:sz w:val="27"/>
          <w:szCs w:val="27"/>
        </w:rPr>
        <w:t>人登記之權利範圍合計不等於</w:t>
      </w:r>
      <w:proofErr w:type="gramStart"/>
      <w:r w:rsidRPr="00CB2B1C">
        <w:rPr>
          <w:rFonts w:ascii="標楷體" w:eastAsia="標楷體" w:hAnsi="標楷體" w:hint="eastAsia"/>
          <w:color w:val="000000"/>
          <w:sz w:val="27"/>
          <w:szCs w:val="27"/>
        </w:rPr>
        <w:t>一</w:t>
      </w:r>
      <w:proofErr w:type="gramEnd"/>
      <w:r w:rsidRPr="00CB2B1C">
        <w:rPr>
          <w:rFonts w:ascii="標楷體" w:eastAsia="標楷體" w:hAnsi="標楷體" w:hint="eastAsia"/>
          <w:color w:val="000000"/>
          <w:sz w:val="27"/>
          <w:szCs w:val="27"/>
        </w:rPr>
        <w:t>者。</w:t>
      </w:r>
      <w:r w:rsidRPr="00CB2B1C">
        <w:rPr>
          <w:rFonts w:ascii="標楷體" w:eastAsia="標楷體" w:hAnsi="標楷體" w:hint="eastAsia"/>
          <w:color w:val="000000"/>
          <w:sz w:val="27"/>
          <w:szCs w:val="27"/>
        </w:rPr>
        <w:br/>
        <w:t>十、本條例第三十二條所定</w:t>
      </w:r>
      <w:hyperlink r:id="rId15" w:history="1">
        <w:r w:rsidRPr="00CB2B1C">
          <w:rPr>
            <w:rStyle w:val="a5"/>
            <w:rFonts w:ascii="標楷體" w:eastAsia="標楷體" w:hAnsi="標楷體" w:hint="eastAsia"/>
            <w:color w:val="4E92DF"/>
            <w:sz w:val="27"/>
            <w:szCs w:val="27"/>
          </w:rPr>
          <w:t>土地總登記</w:t>
        </w:r>
      </w:hyperlink>
      <w:r w:rsidRPr="00CB2B1C">
        <w:rPr>
          <w:rFonts w:ascii="標楷體" w:eastAsia="標楷體" w:hAnsi="標楷體" w:hint="eastAsia"/>
          <w:color w:val="000000"/>
          <w:sz w:val="27"/>
          <w:szCs w:val="27"/>
        </w:rPr>
        <w:t>時或金門、馬祖地區實施戰地政務終止前，</w:t>
      </w:r>
      <w:hyperlink r:id="rId16" w:history="1">
        <w:r w:rsidRPr="00CB2B1C">
          <w:rPr>
            <w:rStyle w:val="a5"/>
            <w:rFonts w:ascii="標楷體" w:eastAsia="標楷體" w:hAnsi="標楷體" w:hint="eastAsia"/>
            <w:color w:val="4E92DF"/>
            <w:sz w:val="27"/>
            <w:szCs w:val="27"/>
          </w:rPr>
          <w:t>登記名義人</w:t>
        </w:r>
      </w:hyperlink>
      <w:r w:rsidRPr="00CB2B1C">
        <w:rPr>
          <w:rFonts w:ascii="標楷體" w:eastAsia="標楷體" w:hAnsi="標楷體" w:hint="eastAsia"/>
          <w:color w:val="000000"/>
          <w:sz w:val="27"/>
          <w:szCs w:val="27"/>
        </w:rPr>
        <w:t>之姓名、名稱或住址記載不全或不符者。</w:t>
      </w:r>
      <w:r w:rsidRPr="00CB2B1C">
        <w:rPr>
          <w:rFonts w:ascii="標楷體" w:eastAsia="標楷體" w:hAnsi="標楷體" w:hint="eastAsia"/>
          <w:color w:val="000000"/>
          <w:sz w:val="27"/>
          <w:szCs w:val="27"/>
        </w:rPr>
        <w:br/>
        <w:t>十一、本條例第三十三條所定非以</w:t>
      </w:r>
      <w:hyperlink r:id="rId17" w:tgtFrame="_blank" w:history="1">
        <w:r w:rsidRPr="00CB2B1C">
          <w:rPr>
            <w:rStyle w:val="a5"/>
            <w:rFonts w:ascii="標楷體" w:eastAsia="標楷體" w:hAnsi="標楷體" w:hint="eastAsia"/>
            <w:i/>
            <w:iCs/>
            <w:color w:val="2D5C88"/>
            <w:sz w:val="27"/>
            <w:szCs w:val="27"/>
          </w:rPr>
          <w:t>自然人</w:t>
        </w:r>
      </w:hyperlink>
      <w:r w:rsidRPr="00CB2B1C">
        <w:rPr>
          <w:rFonts w:ascii="標楷體" w:eastAsia="標楷體" w:hAnsi="標楷體" w:hint="eastAsia"/>
          <w:color w:val="000000"/>
          <w:sz w:val="27"/>
          <w:szCs w:val="27"/>
        </w:rPr>
        <w:t>、</w:t>
      </w:r>
      <w:hyperlink r:id="rId18" w:history="1">
        <w:r w:rsidRPr="00CB2B1C">
          <w:rPr>
            <w:rStyle w:val="a5"/>
            <w:rFonts w:ascii="標楷體" w:eastAsia="標楷體" w:hAnsi="標楷體" w:hint="eastAsia"/>
            <w:color w:val="4E92DF"/>
            <w:sz w:val="27"/>
            <w:szCs w:val="27"/>
          </w:rPr>
          <w:t>法人</w:t>
        </w:r>
      </w:hyperlink>
      <w:r w:rsidRPr="00CB2B1C">
        <w:rPr>
          <w:rFonts w:ascii="標楷體" w:eastAsia="標楷體" w:hAnsi="標楷體" w:hint="eastAsia"/>
          <w:color w:val="000000"/>
          <w:sz w:val="27"/>
          <w:szCs w:val="27"/>
        </w:rPr>
        <w:t>或適用</w:t>
      </w:r>
      <w:hyperlink r:id="rId19" w:history="1">
        <w:r w:rsidRPr="00CB2B1C">
          <w:rPr>
            <w:rStyle w:val="a5"/>
            <w:rFonts w:ascii="標楷體" w:eastAsia="標楷體" w:hAnsi="標楷體" w:hint="eastAsia"/>
            <w:color w:val="4E92DF"/>
            <w:sz w:val="27"/>
            <w:szCs w:val="27"/>
          </w:rPr>
          <w:t>監督寺廟條例</w:t>
        </w:r>
      </w:hyperlink>
      <w:r w:rsidRPr="00CB2B1C">
        <w:rPr>
          <w:rFonts w:ascii="標楷體" w:eastAsia="標楷體" w:hAnsi="標楷體" w:hint="eastAsia"/>
          <w:color w:val="000000"/>
          <w:sz w:val="27"/>
          <w:szCs w:val="27"/>
        </w:rPr>
        <w:t>之寺廟名義登記之土</w:t>
      </w:r>
      <w:hyperlink r:id="rId20" w:history="1">
        <w:r w:rsidRPr="00CB2B1C">
          <w:rPr>
            <w:rStyle w:val="a5"/>
            <w:rFonts w:ascii="標楷體" w:eastAsia="標楷體" w:hAnsi="標楷體" w:hint="eastAsia"/>
            <w:color w:val="4E92DF"/>
            <w:sz w:val="27"/>
            <w:szCs w:val="27"/>
          </w:rPr>
          <w:t>地權</w:t>
        </w:r>
      </w:hyperlink>
      <w:r w:rsidRPr="00CB2B1C">
        <w:rPr>
          <w:rFonts w:ascii="標楷體" w:eastAsia="標楷體" w:hAnsi="標楷體" w:hint="eastAsia"/>
          <w:color w:val="000000"/>
          <w:sz w:val="27"/>
          <w:szCs w:val="27"/>
        </w:rPr>
        <w:t>利，且非屬本條例第十七條至第二十六條、第三十五條及登記名義人為</w:t>
      </w:r>
      <w:hyperlink r:id="rId21" w:tgtFrame="_blank" w:history="1">
        <w:r w:rsidRPr="00CB2B1C">
          <w:rPr>
            <w:rStyle w:val="a5"/>
            <w:rFonts w:ascii="標楷體" w:eastAsia="標楷體" w:hAnsi="標楷體" w:hint="eastAsia"/>
            <w:i/>
            <w:iCs/>
            <w:color w:val="2D5C88"/>
            <w:sz w:val="27"/>
            <w:szCs w:val="27"/>
          </w:rPr>
          <w:t>祭祀公業</w:t>
        </w:r>
      </w:hyperlink>
      <w:r w:rsidRPr="00CB2B1C">
        <w:rPr>
          <w:rFonts w:ascii="標楷體" w:eastAsia="標楷體" w:hAnsi="標楷體" w:hint="eastAsia"/>
          <w:color w:val="000000"/>
          <w:sz w:val="27"/>
          <w:szCs w:val="27"/>
        </w:rPr>
        <w:t>或具有祭祀公業性質及事實者之情形。</w:t>
      </w:r>
      <w:r w:rsidRPr="00CB2B1C">
        <w:rPr>
          <w:rFonts w:ascii="標楷體" w:eastAsia="標楷體" w:hAnsi="標楷體" w:hint="eastAsia"/>
          <w:color w:val="000000"/>
          <w:sz w:val="27"/>
          <w:szCs w:val="27"/>
        </w:rPr>
        <w:br/>
        <w:t>十二、本條例第三十一條之一第一項所定土地總登記時登記名義人登記之</w:t>
      </w:r>
      <w:hyperlink r:id="rId22" w:history="1">
        <w:r w:rsidRPr="00CB2B1C">
          <w:rPr>
            <w:rStyle w:val="a5"/>
            <w:rFonts w:ascii="標楷體" w:eastAsia="標楷體" w:hAnsi="標楷體" w:hint="eastAsia"/>
            <w:color w:val="4E92DF"/>
            <w:sz w:val="27"/>
            <w:szCs w:val="27"/>
          </w:rPr>
          <w:t>所有權</w:t>
        </w:r>
      </w:hyperlink>
      <w:r w:rsidRPr="00CB2B1C">
        <w:rPr>
          <w:rFonts w:ascii="標楷體" w:eastAsia="標楷體" w:hAnsi="標楷體" w:hint="eastAsia"/>
          <w:color w:val="000000"/>
          <w:sz w:val="27"/>
          <w:szCs w:val="27"/>
        </w:rPr>
        <w:t>權利範圍空白且現仍空白者。</w:t>
      </w:r>
    </w:p>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r w:rsidRPr="00CB2B1C">
        <w:rPr>
          <w:rFonts w:ascii="標楷體" w:eastAsia="標楷體" w:hAnsi="標楷體" w:hint="eastAsia"/>
          <w:color w:val="000000"/>
          <w:sz w:val="27"/>
          <w:szCs w:val="27"/>
        </w:rPr>
        <w:t>地籍清理清查辦法第三條修正總說明及對照表：</w:t>
      </w:r>
      <w:hyperlink r:id="rId23" w:tgtFrame="_blank" w:history="1">
        <w:r w:rsidRPr="00CB2B1C">
          <w:rPr>
            <w:rStyle w:val="a5"/>
            <w:rFonts w:ascii="標楷體" w:eastAsia="標楷體" w:hAnsi="標楷體" w:hint="eastAsia"/>
            <w:color w:val="2D5C88"/>
            <w:sz w:val="27"/>
            <w:szCs w:val="27"/>
          </w:rPr>
          <w:t>https://gazette.nat.gov.tw/EG_FileManager/eguploadpub/eg029183/ch02/type1/gov10/num6/images/AA.pdf</w:t>
        </w:r>
      </w:hyperlink>
    </w:p>
    <w:p w:rsidR="00B16FB6" w:rsidRPr="00CB2B1C" w:rsidRDefault="00B16FB6" w:rsidP="00B16FB6">
      <w:pPr>
        <w:pStyle w:val="Web"/>
        <w:shd w:val="clear" w:color="auto" w:fill="FFFFFF"/>
        <w:spacing w:before="0" w:beforeAutospacing="0" w:after="240" w:afterAutospacing="0"/>
        <w:rPr>
          <w:rFonts w:ascii="標楷體" w:eastAsia="標楷體" w:hAnsi="標楷體"/>
          <w:color w:val="000000"/>
          <w:sz w:val="27"/>
          <w:szCs w:val="27"/>
        </w:rPr>
      </w:pPr>
      <w:r w:rsidRPr="00CB2B1C">
        <w:rPr>
          <w:rFonts w:ascii="標楷體" w:eastAsia="標楷體" w:hAnsi="標楷體" w:hint="eastAsia"/>
          <w:color w:val="000000"/>
          <w:sz w:val="27"/>
          <w:szCs w:val="27"/>
        </w:rPr>
        <w:t>資料來源：內政部</w:t>
      </w:r>
    </w:p>
    <w:p w:rsidR="00001E54" w:rsidRPr="00CB2B1C" w:rsidRDefault="00001E54" w:rsidP="00B16FB6">
      <w:pPr>
        <w:rPr>
          <w:rFonts w:ascii="標楷體" w:eastAsia="標楷體" w:hAnsi="標楷體"/>
        </w:rPr>
      </w:pPr>
    </w:p>
    <w:sectPr w:rsidR="00001E54" w:rsidRPr="00CB2B1C" w:rsidSect="00001E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B"/>
    <w:rsid w:val="00001E54"/>
    <w:rsid w:val="00194E1F"/>
    <w:rsid w:val="00A57F7B"/>
    <w:rsid w:val="00B16FB6"/>
    <w:rsid w:val="00CB2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10B2-8577-4665-8642-1294F04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E5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E5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94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4E1F"/>
    <w:rPr>
      <w:rFonts w:ascii="細明體" w:eastAsia="細明體" w:hAnsi="細明體" w:cs="細明體"/>
      <w:kern w:val="0"/>
      <w:szCs w:val="24"/>
    </w:rPr>
  </w:style>
  <w:style w:type="paragraph" w:styleId="Web">
    <w:name w:val="Normal (Web)"/>
    <w:basedOn w:val="a"/>
    <w:uiPriority w:val="99"/>
    <w:semiHidden/>
    <w:unhideWhenUsed/>
    <w:rsid w:val="00B16FB6"/>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B16FB6"/>
    <w:rPr>
      <w:color w:val="0000FF"/>
      <w:u w:val="single"/>
    </w:rPr>
  </w:style>
  <w:style w:type="character" w:customStyle="1" w:styleId="tooltipstered">
    <w:name w:val="tooltipstered"/>
    <w:basedOn w:val="a0"/>
    <w:rsid w:val="00B1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2284">
      <w:bodyDiv w:val="1"/>
      <w:marLeft w:val="0"/>
      <w:marRight w:val="0"/>
      <w:marTop w:val="0"/>
      <w:marBottom w:val="0"/>
      <w:divBdr>
        <w:top w:val="none" w:sz="0" w:space="0" w:color="auto"/>
        <w:left w:val="none" w:sz="0" w:space="0" w:color="auto"/>
        <w:bottom w:val="none" w:sz="0" w:space="0" w:color="auto"/>
        <w:right w:val="none" w:sz="0" w:space="0" w:color="auto"/>
      </w:divBdr>
    </w:div>
    <w:div w:id="1808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w.com/archives/tag/%e6%8a%b5%e6%8a%bc%e6%ac%8a" TargetMode="External"/><Relationship Id="rId13" Type="http://schemas.openxmlformats.org/officeDocument/2006/relationships/hyperlink" Target="https://www.lawtw.com/archives/tag/%e5%85%b1%e6%9c%89%e5%9c%9f%e5%9c%b0" TargetMode="External"/><Relationship Id="rId18" Type="http://schemas.openxmlformats.org/officeDocument/2006/relationships/hyperlink" Target="https://www.lawtw.com/archives/tag/%e6%b3%95%e4%ba%ba" TargetMode="External"/><Relationship Id="rId3" Type="http://schemas.openxmlformats.org/officeDocument/2006/relationships/webSettings" Target="webSettings.xml"/><Relationship Id="rId21" Type="http://schemas.openxmlformats.org/officeDocument/2006/relationships/hyperlink" Target="https://zh.wikipedia.org/wiki/%E7%A5%AD%E7%A5%80%E5%85%AC%E6%A5%AD" TargetMode="External"/><Relationship Id="rId7" Type="http://schemas.openxmlformats.org/officeDocument/2006/relationships/hyperlink" Target="https://zh.wikipedia.org/wiki/%E7%89%A9%E6%9D%83" TargetMode="External"/><Relationship Id="rId12" Type="http://schemas.openxmlformats.org/officeDocument/2006/relationships/hyperlink" Target="https://www.lawtw.com/archives/tag/%e5%81%87%e8%99%95%e5%88%86" TargetMode="External"/><Relationship Id="rId17" Type="http://schemas.openxmlformats.org/officeDocument/2006/relationships/hyperlink" Target="https://zh.wikipedia.org/wiki/%E8%87%AA%E7%84%B6%E4%BA%B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wtw.com/archives/tag/%e7%99%bb%e8%a8%98%e5%90%8d%e7%be%a9%e4%ba%ba" TargetMode="External"/><Relationship Id="rId20" Type="http://schemas.openxmlformats.org/officeDocument/2006/relationships/hyperlink" Target="https://www.lawtw.com/archives/tag/%e5%9c%b0%e6%ac%8a" TargetMode="External"/><Relationship Id="rId1" Type="http://schemas.openxmlformats.org/officeDocument/2006/relationships/styles" Target="styles.xml"/><Relationship Id="rId6" Type="http://schemas.openxmlformats.org/officeDocument/2006/relationships/hyperlink" Target="https://zh.wikipedia.org/wiki/%E5%8B%95%E7%94%A2" TargetMode="External"/><Relationship Id="rId11" Type="http://schemas.openxmlformats.org/officeDocument/2006/relationships/hyperlink" Target="https://www.lawtw.com/archives/tag/%e6%89%a3%e6%8a%bc" TargetMode="External"/><Relationship Id="rId24" Type="http://schemas.openxmlformats.org/officeDocument/2006/relationships/fontTable" Target="fontTable.xml"/><Relationship Id="rId5" Type="http://schemas.openxmlformats.org/officeDocument/2006/relationships/hyperlink" Target="https://www.lawtw.com/archives/tag/%e7%a5%9e%e6%98%8e%e6%9c%83" TargetMode="External"/><Relationship Id="rId15" Type="http://schemas.openxmlformats.org/officeDocument/2006/relationships/hyperlink" Target="https://www.lawtw.com/archives/tag/%e5%9c%9f%e5%9c%b0%e7%b8%bd%e7%99%bb%e8%a8%98" TargetMode="External"/><Relationship Id="rId23" Type="http://schemas.openxmlformats.org/officeDocument/2006/relationships/hyperlink" Target="https://gazette.nat.gov.tw/EG_FileManager/eguploadpub/eg029183/ch02/type1/gov10/num6/images/AA.pdf" TargetMode="External"/><Relationship Id="rId10" Type="http://schemas.openxmlformats.org/officeDocument/2006/relationships/hyperlink" Target="https://www.lawtw.com/archives/tag/%e4%bd%8f%e6%89%80" TargetMode="External"/><Relationship Id="rId19" Type="http://schemas.openxmlformats.org/officeDocument/2006/relationships/hyperlink" Target="https://www.lawtw.com/archives/tag/%e7%9b%a3%e7%9d%a3%e5%af%ba%e5%bb%9f%e6%a2%9d%e4%be%8b" TargetMode="External"/><Relationship Id="rId4" Type="http://schemas.openxmlformats.org/officeDocument/2006/relationships/hyperlink" Target="https://www.lawtw.com/archives/tag/%e5%9c%b0%e7%b1%8d" TargetMode="External"/><Relationship Id="rId9" Type="http://schemas.openxmlformats.org/officeDocument/2006/relationships/hyperlink" Target="https://www.lawtw.com/archives/tag/%e5%9c%b0%e4%b8%8a%e6%ac%8a" TargetMode="External"/><Relationship Id="rId14" Type="http://schemas.openxmlformats.org/officeDocument/2006/relationships/hyperlink" Target="https://www.lawtw.com/archives/tag/%e5%85%b1%e6%9c%89" TargetMode="External"/><Relationship Id="rId22" Type="http://schemas.openxmlformats.org/officeDocument/2006/relationships/hyperlink" Target="https://www.lawtw.com/archives/tag/%e6%89%80%e6%9c%89%e6%ac%8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戴松萍</dc:creator>
  <cp:keywords/>
  <dc:description/>
  <cp:lastModifiedBy>戴松萍</cp:lastModifiedBy>
  <cp:revision>4</cp:revision>
  <cp:lastPrinted>2023-09-27T06:06:00Z</cp:lastPrinted>
  <dcterms:created xsi:type="dcterms:W3CDTF">2023-09-27T02:49:00Z</dcterms:created>
  <dcterms:modified xsi:type="dcterms:W3CDTF">2023-09-27T06:06:00Z</dcterms:modified>
</cp:coreProperties>
</file>