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9F" w:rsidRDefault="00952D9F">
      <w:pPr>
        <w:rPr>
          <w:rFonts w:ascii="標楷體" w:eastAsia="標楷體" w:hAnsi="標楷體"/>
          <w:sz w:val="36"/>
          <w:szCs w:val="36"/>
        </w:rPr>
      </w:pPr>
      <w:r w:rsidRPr="00952D9F">
        <w:rPr>
          <w:rFonts w:ascii="標楷體" w:eastAsia="標楷體" w:hAnsi="標楷體" w:hint="eastAsia"/>
          <w:sz w:val="36"/>
          <w:szCs w:val="36"/>
        </w:rPr>
        <w:t>苗栗縣各地政事務所辦理跨所土地登記作業</w:t>
      </w:r>
      <w:r w:rsidR="005E6898">
        <w:rPr>
          <w:rFonts w:ascii="標楷體" w:eastAsia="標楷體" w:hAnsi="標楷體" w:hint="eastAsia"/>
          <w:sz w:val="36"/>
          <w:szCs w:val="36"/>
        </w:rPr>
        <w:t>修正要點</w:t>
      </w:r>
    </w:p>
    <w:p w:rsidR="00D314E2" w:rsidRDefault="00D314E2" w:rsidP="00D314E2">
      <w:pPr>
        <w:ind w:right="240"/>
        <w:jc w:val="right"/>
        <w:rPr>
          <w:rFonts w:ascii="標楷體" w:eastAsia="標楷體" w:hAnsi="標楷體"/>
          <w:szCs w:val="24"/>
        </w:rPr>
      </w:pPr>
      <w:r>
        <w:rPr>
          <w:rFonts w:ascii="標楷體" w:eastAsia="標楷體" w:hAnsi="標楷體" w:hint="eastAsia"/>
          <w:szCs w:val="24"/>
        </w:rPr>
        <w:t xml:space="preserve">    </w:t>
      </w:r>
      <w:r w:rsidRPr="00D314E2">
        <w:rPr>
          <w:rFonts w:ascii="標楷體" w:eastAsia="標楷體" w:hAnsi="標楷體" w:hint="eastAsia"/>
          <w:szCs w:val="24"/>
        </w:rPr>
        <w:t>中華民國104年</w:t>
      </w:r>
      <w:r w:rsidR="00CE1067">
        <w:rPr>
          <w:rFonts w:ascii="標楷體" w:eastAsia="標楷體" w:hAnsi="標楷體" w:hint="eastAsia"/>
          <w:szCs w:val="24"/>
        </w:rPr>
        <w:t xml:space="preserve"> </w:t>
      </w:r>
      <w:r w:rsidRPr="00D314E2">
        <w:rPr>
          <w:rFonts w:ascii="標楷體" w:eastAsia="標楷體" w:hAnsi="標楷體" w:hint="eastAsia"/>
          <w:szCs w:val="24"/>
        </w:rPr>
        <w:t>4月</w:t>
      </w:r>
      <w:r>
        <w:rPr>
          <w:rFonts w:ascii="標楷體" w:eastAsia="標楷體" w:hAnsi="標楷體" w:hint="eastAsia"/>
          <w:szCs w:val="24"/>
        </w:rPr>
        <w:t xml:space="preserve"> </w:t>
      </w:r>
      <w:r w:rsidRPr="00D314E2">
        <w:rPr>
          <w:rFonts w:ascii="標楷體" w:eastAsia="標楷體" w:hAnsi="標楷體" w:hint="eastAsia"/>
          <w:szCs w:val="24"/>
        </w:rPr>
        <w:t>1日</w:t>
      </w:r>
    </w:p>
    <w:p w:rsidR="00D314E2" w:rsidRPr="00D314E2" w:rsidRDefault="00D314E2" w:rsidP="00D314E2">
      <w:pPr>
        <w:ind w:right="240"/>
        <w:jc w:val="right"/>
        <w:rPr>
          <w:rFonts w:ascii="標楷體" w:eastAsia="標楷體" w:hAnsi="標楷體"/>
          <w:sz w:val="36"/>
          <w:szCs w:val="36"/>
        </w:rPr>
      </w:pPr>
      <w:r w:rsidRPr="00D314E2">
        <w:rPr>
          <w:rFonts w:ascii="標楷體" w:eastAsia="標楷體" w:hAnsi="標楷體" w:hint="eastAsia"/>
          <w:szCs w:val="24"/>
        </w:rPr>
        <w:t>府地籍字第1040065601號</w:t>
      </w:r>
    </w:p>
    <w:p w:rsidR="00E014BA" w:rsidRPr="00952D9F" w:rsidRDefault="00952D9F" w:rsidP="00952D9F">
      <w:pPr>
        <w:pStyle w:val="a3"/>
        <w:numPr>
          <w:ilvl w:val="0"/>
          <w:numId w:val="1"/>
        </w:numPr>
        <w:ind w:leftChars="0"/>
        <w:rPr>
          <w:rFonts w:ascii="標楷體" w:eastAsia="標楷體" w:hAnsi="標楷體"/>
          <w:sz w:val="28"/>
          <w:szCs w:val="28"/>
        </w:rPr>
      </w:pPr>
      <w:r w:rsidRPr="00952D9F">
        <w:rPr>
          <w:rFonts w:ascii="標楷體" w:eastAsia="標楷體" w:hAnsi="標楷體" w:hint="eastAsia"/>
          <w:sz w:val="28"/>
          <w:szCs w:val="28"/>
        </w:rPr>
        <w:t>苗栗縣政府（以下簡稱本府）為加強所屬各地政事務所為民服務效能及辦理本縣跨所土地登記業務，特訂定本要點。</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二、本要點名詞定義如下：</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（一）管轄所：係指土地管轄之地政事務所。</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（二）受理所：係指受理非管轄區土地登記案件之地政事務所。</w:t>
      </w:r>
    </w:p>
    <w:p w:rsidR="00952D9F" w:rsidRPr="00952D9F" w:rsidRDefault="00952D9F" w:rsidP="00952D9F">
      <w:pPr>
        <w:ind w:left="135"/>
        <w:rPr>
          <w:sz w:val="28"/>
          <w:szCs w:val="28"/>
        </w:rPr>
      </w:pPr>
      <w:r w:rsidRPr="00952D9F">
        <w:rPr>
          <w:rFonts w:ascii="標楷體" w:eastAsia="標楷體" w:hAnsi="標楷體" w:hint="eastAsia"/>
          <w:sz w:val="28"/>
          <w:szCs w:val="28"/>
        </w:rPr>
        <w:t>(三)跨所土地登記案件：係指受理所依本要點辦理非該所管轄之土地登記案</w:t>
      </w:r>
      <w:r w:rsidRPr="00952D9F">
        <w:rPr>
          <w:rFonts w:ascii="標楷體" w:eastAsia="標楷體" w:hAnsi="標楷體" w:hint="eastAsia"/>
          <w:sz w:val="28"/>
          <w:szCs w:val="28"/>
        </w:rPr>
        <w:tab/>
      </w:r>
      <w:r w:rsidRPr="00952D9F">
        <w:rPr>
          <w:rFonts w:ascii="標楷體" w:eastAsia="標楷體" w:hAnsi="標楷體" w:hint="eastAsia"/>
          <w:sz w:val="28"/>
          <w:szCs w:val="28"/>
        </w:rPr>
        <w:tab/>
        <w:t xml:space="preserve">  件。</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三、除本要點另有規定外,依本要點辦理跨所登記之登記案件如下：</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(一) 抵押權塗銷登記。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(二) 住址變更登記。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(三) 姓名變更登記。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(四) 建物門牌變更登記。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(五) 書狀換給登記(不含重測、重劃等政策性業務)。</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(六) 更正登記（限於姓名、出生年月日、身分證統一編號、地址門牌錯誤，經</w:t>
      </w:r>
      <w:r w:rsidRPr="00952D9F">
        <w:rPr>
          <w:rFonts w:ascii="標楷體" w:eastAsia="標楷體" w:hAnsi="標楷體" w:hint="eastAsia"/>
          <w:sz w:val="28"/>
          <w:szCs w:val="28"/>
        </w:rPr>
        <w:tab/>
        <w:t xml:space="preserve">  戶政機關更正有案者）。         </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(七) 拍賣登記。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(八)抵押權之設定、內容變更或讓 與登記。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lastRenderedPageBreak/>
        <w:t xml:space="preserve"> (九)預告登記及塗銷預告登記。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(十) 夫妻贈與、贈與登記。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(十一)除依土地法第三十四條之一辦理外之交換登記。  </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(十二) 除依土地法第三十四條之一辦理外之買賣登記。             </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(十三) 遺贈登記、信託相關登記。      </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(十四) 繼承登記(至少需一筆標的為受理機關所管轄)。</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52D9F">
        <w:rPr>
          <w:rFonts w:ascii="標楷體" w:eastAsia="標楷體" w:hAnsi="標楷體" w:hint="eastAsia"/>
          <w:sz w:val="28"/>
          <w:szCs w:val="28"/>
        </w:rPr>
        <w:t>前項第七款至第九款規定之登記項目自中華民國一零四年六月一日施</w:t>
      </w:r>
      <w:r>
        <w:rPr>
          <w:rFonts w:ascii="標楷體" w:eastAsia="標楷體" w:hAnsi="標楷體" w:hint="eastAsia"/>
          <w:sz w:val="28"/>
          <w:szCs w:val="28"/>
        </w:rPr>
        <w:tab/>
      </w:r>
      <w:r w:rsidRPr="00952D9F">
        <w:rPr>
          <w:rFonts w:ascii="標楷體" w:eastAsia="標楷體" w:hAnsi="標楷體" w:hint="eastAsia"/>
          <w:sz w:val="28"/>
          <w:szCs w:val="28"/>
        </w:rPr>
        <w:t>行；第十款、第十一款規定之登記項目自中華民國一零四年十月一日施行；</w:t>
      </w:r>
      <w:r>
        <w:rPr>
          <w:rFonts w:ascii="標楷體" w:eastAsia="標楷體" w:hAnsi="標楷體" w:hint="eastAsia"/>
          <w:sz w:val="28"/>
          <w:szCs w:val="28"/>
        </w:rPr>
        <w:tab/>
      </w:r>
      <w:r w:rsidRPr="00952D9F">
        <w:rPr>
          <w:rFonts w:ascii="標楷體" w:eastAsia="標楷體" w:hAnsi="標楷體" w:hint="eastAsia"/>
          <w:sz w:val="28"/>
          <w:szCs w:val="28"/>
        </w:rPr>
        <w:t xml:space="preserve">第十二款至第十四款規定之登記項目自中華民國一零五年三月一日施行。         </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52D9F">
        <w:rPr>
          <w:rFonts w:ascii="標楷體" w:eastAsia="標楷體" w:hAnsi="標楷體" w:hint="eastAsia"/>
          <w:sz w:val="28"/>
          <w:szCs w:val="28"/>
        </w:rPr>
        <w:t>第一項之登記有下列情形之一者，無本要點之適用﹕</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52D9F">
        <w:rPr>
          <w:rFonts w:ascii="標楷體" w:eastAsia="標楷體" w:hAnsi="標楷體" w:hint="eastAsia"/>
          <w:sz w:val="28"/>
          <w:szCs w:val="28"/>
        </w:rPr>
        <w:t>(一) 未檢附權利書狀（無須檢附權利書狀者除外）。</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52D9F">
        <w:rPr>
          <w:rFonts w:ascii="標楷體" w:eastAsia="標楷體" w:hAnsi="標楷體" w:hint="eastAsia"/>
          <w:sz w:val="28"/>
          <w:szCs w:val="28"/>
        </w:rPr>
        <w:t>(二) 登記名義人為無統一編號或統一編號為流水編。</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52D9F">
        <w:rPr>
          <w:rFonts w:ascii="標楷體" w:eastAsia="標楷體" w:hAnsi="標楷體" w:hint="eastAsia"/>
          <w:sz w:val="28"/>
          <w:szCs w:val="28"/>
        </w:rPr>
        <w:t>(三) 屬祭祀公業條例及地籍清理條例清理之標的。</w:t>
      </w:r>
    </w:p>
    <w:p w:rsidR="00952D9F" w:rsidRPr="00952D9F" w:rsidRDefault="00952D9F" w:rsidP="00952D9F">
      <w:pPr>
        <w:rPr>
          <w:rFonts w:ascii="標楷體" w:eastAsia="標楷體" w:hAnsi="標楷體"/>
          <w:sz w:val="28"/>
          <w:szCs w:val="28"/>
        </w:rPr>
      </w:pPr>
      <w:r>
        <w:rPr>
          <w:rFonts w:ascii="標楷體" w:eastAsia="標楷體" w:hAnsi="標楷體" w:hint="eastAsia"/>
          <w:sz w:val="28"/>
          <w:szCs w:val="28"/>
        </w:rPr>
        <w:t xml:space="preserve">   </w:t>
      </w:r>
      <w:r w:rsidRPr="00952D9F">
        <w:rPr>
          <w:rFonts w:ascii="標楷體" w:eastAsia="標楷體" w:hAnsi="標楷體" w:hint="eastAsia"/>
          <w:sz w:val="28"/>
          <w:szCs w:val="28"/>
        </w:rPr>
        <w:t>(四) 超過十連件之大宗案件。</w:t>
      </w:r>
    </w:p>
    <w:p w:rsidR="00952D9F" w:rsidRPr="00952D9F" w:rsidRDefault="00952D9F" w:rsidP="00952D9F">
      <w:pPr>
        <w:rPr>
          <w:sz w:val="28"/>
          <w:szCs w:val="28"/>
        </w:rPr>
      </w:pPr>
      <w:r w:rsidRPr="00952D9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52D9F">
        <w:rPr>
          <w:rFonts w:ascii="標楷體" w:eastAsia="標楷體" w:hAnsi="標楷體" w:hint="eastAsia"/>
          <w:sz w:val="28"/>
          <w:szCs w:val="28"/>
        </w:rPr>
        <w:t>(五) 與非屬跨所登記項目連件辦理。</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四、受理跨所土地登記案件，應先依規定申請取得管轄所之地政整合系統權限。</w:t>
      </w:r>
      <w:r>
        <w:rPr>
          <w:rFonts w:ascii="標楷體" w:eastAsia="標楷體" w:hAnsi="標楷體" w:hint="eastAsia"/>
          <w:sz w:val="28"/>
          <w:szCs w:val="28"/>
        </w:rPr>
        <w:tab/>
        <w:t xml:space="preserve"> </w:t>
      </w:r>
      <w:r w:rsidRPr="00952D9F">
        <w:rPr>
          <w:rFonts w:ascii="標楷體" w:eastAsia="標楷體" w:hAnsi="標楷體" w:hint="eastAsia"/>
          <w:sz w:val="28"/>
          <w:szCs w:val="28"/>
        </w:rPr>
        <w:t>跨所土地登記案件之收件字號及相關代碼，由本府統一訂定之。</w:t>
      </w:r>
    </w:p>
    <w:p w:rsidR="00952D9F" w:rsidRPr="00952D9F" w:rsidRDefault="00952D9F" w:rsidP="00952D9F">
      <w:pPr>
        <w:rPr>
          <w:sz w:val="28"/>
          <w:szCs w:val="28"/>
        </w:rPr>
      </w:pPr>
      <w:r>
        <w:rPr>
          <w:rFonts w:ascii="標楷體" w:eastAsia="標楷體" w:hAnsi="標楷體" w:hint="eastAsia"/>
          <w:sz w:val="28"/>
          <w:szCs w:val="28"/>
        </w:rPr>
        <w:t xml:space="preserve">   </w:t>
      </w:r>
      <w:r w:rsidRPr="00952D9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52D9F">
        <w:rPr>
          <w:rFonts w:ascii="標楷體" w:eastAsia="標楷體" w:hAnsi="標楷體" w:hint="eastAsia"/>
          <w:sz w:val="28"/>
          <w:szCs w:val="28"/>
        </w:rPr>
        <w:t>前項收件資料因錯誤或遺漏需修正，且超過受理所權限時，應由受理所填</w:t>
      </w:r>
      <w:r>
        <w:rPr>
          <w:rFonts w:ascii="標楷體" w:eastAsia="標楷體" w:hAnsi="標楷體" w:hint="eastAsia"/>
          <w:sz w:val="28"/>
          <w:szCs w:val="28"/>
        </w:rPr>
        <w:tab/>
      </w:r>
      <w:r w:rsidRPr="00952D9F">
        <w:rPr>
          <w:rFonts w:ascii="標楷體" w:eastAsia="標楷體" w:hAnsi="標楷體" w:hint="eastAsia"/>
          <w:sz w:val="28"/>
          <w:szCs w:val="28"/>
        </w:rPr>
        <w:t>具「跨所登記案件之收件資料修改申請書」(如附表一)，以傳真方式向管轄</w:t>
      </w:r>
      <w:r>
        <w:rPr>
          <w:rFonts w:ascii="標楷體" w:eastAsia="標楷體" w:hAnsi="標楷體" w:hint="eastAsia"/>
          <w:sz w:val="28"/>
          <w:szCs w:val="28"/>
        </w:rPr>
        <w:lastRenderedPageBreak/>
        <w:tab/>
      </w:r>
      <w:r w:rsidRPr="00952D9F">
        <w:rPr>
          <w:rFonts w:ascii="標楷體" w:eastAsia="標楷體" w:hAnsi="標楷體" w:hint="eastAsia"/>
          <w:sz w:val="28"/>
          <w:szCs w:val="28"/>
        </w:rPr>
        <w:t xml:space="preserve">所聯繫；管轄所 於受理後，由系統管理人員以最短時間內處理完畢。  </w:t>
      </w:r>
    </w:p>
    <w:p w:rsidR="00952D9F" w:rsidRPr="00952D9F" w:rsidRDefault="00952D9F" w:rsidP="00952D9F">
      <w:pPr>
        <w:rPr>
          <w:sz w:val="28"/>
          <w:szCs w:val="28"/>
        </w:rPr>
      </w:pPr>
      <w:r w:rsidRPr="00952D9F">
        <w:rPr>
          <w:rFonts w:ascii="標楷體" w:eastAsia="標楷體" w:hAnsi="標楷體" w:hint="eastAsia"/>
          <w:sz w:val="28"/>
          <w:szCs w:val="28"/>
        </w:rPr>
        <w:t>五、跨所土地登記案件之登記規費及罰鍰計收和退費，納入受理所預算辦理。</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六、受理所辦理跨所土地登記案件時，得提出調案單(如附表二)，以傳真或其他</w:t>
      </w:r>
      <w:r>
        <w:rPr>
          <w:rFonts w:ascii="標楷體" w:eastAsia="標楷體" w:hAnsi="標楷體" w:hint="eastAsia"/>
          <w:sz w:val="28"/>
          <w:szCs w:val="28"/>
        </w:rPr>
        <w:tab/>
        <w:t xml:space="preserve"> </w:t>
      </w:r>
      <w:r w:rsidRPr="00952D9F">
        <w:rPr>
          <w:rFonts w:ascii="標楷體" w:eastAsia="標楷體" w:hAnsi="標楷體" w:hint="eastAsia"/>
          <w:sz w:val="28"/>
          <w:szCs w:val="28"/>
        </w:rPr>
        <w:t>方式向管轄所調取人工登記簿及其他與登記有關之檔案資料。管轄所於收受</w:t>
      </w:r>
      <w:r>
        <w:rPr>
          <w:rFonts w:ascii="標楷體" w:eastAsia="標楷體" w:hAnsi="標楷體" w:hint="eastAsia"/>
          <w:sz w:val="28"/>
          <w:szCs w:val="28"/>
        </w:rPr>
        <w:tab/>
        <w:t xml:space="preserve"> </w:t>
      </w:r>
      <w:r w:rsidR="007C5E79">
        <w:rPr>
          <w:rFonts w:ascii="標楷體" w:eastAsia="標楷體" w:hAnsi="標楷體" w:hint="eastAsia"/>
          <w:sz w:val="28"/>
          <w:szCs w:val="28"/>
        </w:rPr>
        <w:t>調案單後，應即將查複資料影本以傳真或公文交換方式交受理所</w:t>
      </w:r>
      <w:bookmarkStart w:id="0" w:name="_GoBack"/>
      <w:bookmarkEnd w:id="0"/>
      <w:r w:rsidRPr="00952D9F">
        <w:rPr>
          <w:rFonts w:ascii="標楷體" w:eastAsia="標楷體" w:hAnsi="標楷體" w:hint="eastAsia"/>
          <w:sz w:val="28"/>
          <w:szCs w:val="28"/>
        </w:rPr>
        <w:t>。</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七、跨所土地登記案件之補正通知書及駁回通知書應註明受理所機關全銜及地址；</w:t>
      </w:r>
      <w:r>
        <w:rPr>
          <w:rFonts w:ascii="標楷體" w:eastAsia="標楷體" w:hAnsi="標楷體" w:hint="eastAsia"/>
          <w:sz w:val="28"/>
          <w:szCs w:val="28"/>
        </w:rPr>
        <w:tab/>
      </w:r>
      <w:r w:rsidRPr="00952D9F">
        <w:rPr>
          <w:rFonts w:ascii="標楷體" w:eastAsia="標楷體" w:hAnsi="標楷體" w:hint="eastAsia"/>
          <w:sz w:val="28"/>
          <w:szCs w:val="28"/>
        </w:rPr>
        <w:t>駁回通知書並應註明退費及不服行政處分時應以受理所為原處分機關提起訴</w:t>
      </w:r>
      <w:r>
        <w:rPr>
          <w:rFonts w:ascii="標楷體" w:eastAsia="標楷體" w:hAnsi="標楷體" w:hint="eastAsia"/>
          <w:sz w:val="28"/>
          <w:szCs w:val="28"/>
        </w:rPr>
        <w:tab/>
      </w:r>
      <w:r w:rsidRPr="00952D9F">
        <w:rPr>
          <w:rFonts w:ascii="標楷體" w:eastAsia="標楷體" w:hAnsi="標楷體" w:hint="eastAsia"/>
          <w:sz w:val="28"/>
          <w:szCs w:val="28"/>
        </w:rPr>
        <w:t>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52D9F">
        <w:rPr>
          <w:rFonts w:ascii="標楷體" w:eastAsia="標楷體" w:hAnsi="標楷體" w:hint="eastAsia"/>
          <w:sz w:val="28"/>
          <w:szCs w:val="28"/>
        </w:rPr>
        <w:t>前項土地登記案件之行政救濟及登記損害賠償申請事件，由受理所處理。</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八、跨所土地登記案件之補正，應向受理所辦理。但案件駁回或撤回後重新申請</w:t>
      </w:r>
      <w:r>
        <w:rPr>
          <w:rFonts w:ascii="標楷體" w:eastAsia="標楷體" w:hAnsi="標楷體" w:hint="eastAsia"/>
          <w:sz w:val="28"/>
          <w:szCs w:val="28"/>
        </w:rPr>
        <w:tab/>
      </w:r>
      <w:r w:rsidRPr="00952D9F">
        <w:rPr>
          <w:rFonts w:ascii="標楷體" w:eastAsia="標楷體" w:hAnsi="標楷體" w:hint="eastAsia"/>
          <w:sz w:val="28"/>
          <w:szCs w:val="28"/>
        </w:rPr>
        <w:t>者，不在此限。</w:t>
      </w:r>
    </w:p>
    <w:p w:rsidR="00952D9F" w:rsidRPr="00952D9F" w:rsidRDefault="00952D9F" w:rsidP="00952D9F">
      <w:pPr>
        <w:rPr>
          <w:sz w:val="28"/>
          <w:szCs w:val="28"/>
        </w:rPr>
      </w:pPr>
      <w:r w:rsidRPr="00952D9F">
        <w:rPr>
          <w:rFonts w:ascii="標楷體" w:eastAsia="標楷體" w:hAnsi="標楷體" w:hint="eastAsia"/>
          <w:sz w:val="28"/>
          <w:szCs w:val="28"/>
        </w:rPr>
        <w:t>九、受理所審查無誤後應即辦理登記，如須繕發權利書狀者，應由受理所鈐蓋機</w:t>
      </w:r>
      <w:r>
        <w:rPr>
          <w:rFonts w:ascii="標楷體" w:eastAsia="標楷體" w:hAnsi="標楷體" w:hint="eastAsia"/>
          <w:sz w:val="28"/>
          <w:szCs w:val="28"/>
        </w:rPr>
        <w:tab/>
        <w:t xml:space="preserve"> </w:t>
      </w:r>
      <w:r w:rsidRPr="00952D9F">
        <w:rPr>
          <w:rFonts w:ascii="標楷體" w:eastAsia="標楷體" w:hAnsi="標楷體" w:hint="eastAsia"/>
          <w:sz w:val="28"/>
          <w:szCs w:val="28"/>
        </w:rPr>
        <w:t>關印信及首長職銜簽字章，並加註地籍資料管轄所機關名稱。</w:t>
      </w:r>
    </w:p>
    <w:p w:rsidR="00952D9F" w:rsidRPr="00952D9F" w:rsidRDefault="00952D9F" w:rsidP="00952D9F">
      <w:pPr>
        <w:rPr>
          <w:sz w:val="28"/>
          <w:szCs w:val="28"/>
        </w:rPr>
      </w:pPr>
      <w:r w:rsidRPr="00952D9F">
        <w:rPr>
          <w:rFonts w:ascii="標楷體" w:eastAsia="標楷體" w:hAnsi="標楷體" w:hint="eastAsia"/>
          <w:sz w:val="28"/>
          <w:szCs w:val="28"/>
        </w:rPr>
        <w:t>十、受理所於辦竣登記並發還申請人有關文件後，登記申請書及其附件由受理所</w:t>
      </w:r>
      <w:r>
        <w:rPr>
          <w:rFonts w:ascii="標楷體" w:eastAsia="標楷體" w:hAnsi="標楷體" w:hint="eastAsia"/>
          <w:sz w:val="28"/>
          <w:szCs w:val="28"/>
        </w:rPr>
        <w:tab/>
        <w:t xml:space="preserve"> </w:t>
      </w:r>
      <w:r w:rsidRPr="00952D9F">
        <w:rPr>
          <w:rFonts w:ascii="標楷體" w:eastAsia="標楷體" w:hAnsi="標楷體" w:hint="eastAsia"/>
          <w:sz w:val="28"/>
          <w:szCs w:val="28"/>
        </w:rPr>
        <w:t>歸檔。</w:t>
      </w:r>
    </w:p>
    <w:p w:rsidR="00952D9F" w:rsidRPr="00952D9F" w:rsidRDefault="00952D9F" w:rsidP="00952D9F">
      <w:pPr>
        <w:rPr>
          <w:rFonts w:ascii="標楷體" w:eastAsia="標楷體" w:hAnsi="標楷體"/>
          <w:color w:val="000000"/>
          <w:spacing w:val="15"/>
          <w:sz w:val="28"/>
          <w:szCs w:val="28"/>
        </w:rPr>
      </w:pPr>
      <w:r w:rsidRPr="00952D9F">
        <w:rPr>
          <w:rFonts w:ascii="標楷體" w:eastAsia="標楷體" w:hAnsi="標楷體" w:hint="eastAsia"/>
          <w:sz w:val="28"/>
          <w:szCs w:val="28"/>
        </w:rPr>
        <w:t>十一、</w:t>
      </w:r>
      <w:r w:rsidRPr="00952D9F">
        <w:rPr>
          <w:rFonts w:ascii="標楷體" w:eastAsia="標楷體" w:hAnsi="標楷體" w:hint="eastAsia"/>
          <w:color w:val="000000"/>
          <w:spacing w:val="15"/>
          <w:sz w:val="28"/>
          <w:szCs w:val="28"/>
        </w:rPr>
        <w:t>申請閱覽、抄寫或攝影跨所登記案件之申請書及其附件者，由受理</w:t>
      </w:r>
      <w:r w:rsidRPr="00952D9F">
        <w:rPr>
          <w:rFonts w:ascii="標楷體" w:eastAsia="標楷體" w:hAnsi="標楷體" w:hint="eastAsia"/>
          <w:color w:val="000000"/>
          <w:spacing w:val="15"/>
          <w:sz w:val="28"/>
          <w:szCs w:val="28"/>
        </w:rPr>
        <w:tab/>
        <w:t xml:space="preserve"> 所辦理。</w:t>
      </w:r>
    </w:p>
    <w:p w:rsidR="00952D9F" w:rsidRPr="00952D9F" w:rsidRDefault="00952D9F" w:rsidP="00952D9F">
      <w:pPr>
        <w:rPr>
          <w:rFonts w:ascii="標楷體" w:eastAsia="標楷體" w:hAnsi="標楷體"/>
          <w:color w:val="000000"/>
          <w:spacing w:val="15"/>
          <w:sz w:val="28"/>
          <w:szCs w:val="28"/>
        </w:rPr>
      </w:pPr>
      <w:r w:rsidRPr="00952D9F">
        <w:rPr>
          <w:rFonts w:ascii="標楷體" w:eastAsia="標楷體" w:hAnsi="標楷體" w:hint="eastAsia"/>
          <w:color w:val="000000"/>
          <w:spacing w:val="15"/>
          <w:sz w:val="28"/>
          <w:szCs w:val="28"/>
        </w:rPr>
        <w:t xml:space="preserve">    </w:t>
      </w:r>
      <w:r>
        <w:rPr>
          <w:rFonts w:ascii="標楷體" w:eastAsia="標楷體" w:hAnsi="標楷體" w:hint="eastAsia"/>
          <w:color w:val="000000"/>
          <w:spacing w:val="15"/>
          <w:sz w:val="28"/>
          <w:szCs w:val="28"/>
        </w:rPr>
        <w:t xml:space="preserve"> </w:t>
      </w:r>
      <w:r w:rsidRPr="00952D9F">
        <w:rPr>
          <w:rFonts w:ascii="標楷體" w:eastAsia="標楷體" w:hAnsi="標楷體" w:hint="eastAsia"/>
          <w:color w:val="000000"/>
          <w:spacing w:val="15"/>
          <w:sz w:val="28"/>
          <w:szCs w:val="28"/>
        </w:rPr>
        <w:t>申請複印者，得由受理所或管轄所辦理。</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color w:val="000000"/>
          <w:spacing w:val="15"/>
          <w:sz w:val="28"/>
          <w:szCs w:val="28"/>
        </w:rPr>
        <w:t xml:space="preserve">    </w:t>
      </w:r>
      <w:r>
        <w:rPr>
          <w:rFonts w:ascii="標楷體" w:eastAsia="標楷體" w:hAnsi="標楷體" w:hint="eastAsia"/>
          <w:color w:val="000000"/>
          <w:spacing w:val="15"/>
          <w:sz w:val="28"/>
          <w:szCs w:val="28"/>
        </w:rPr>
        <w:t xml:space="preserve"> </w:t>
      </w:r>
      <w:r w:rsidRPr="00952D9F">
        <w:rPr>
          <w:rFonts w:ascii="標楷體" w:eastAsia="標楷體" w:hAnsi="標楷體" w:hint="eastAsia"/>
          <w:color w:val="000000"/>
          <w:spacing w:val="15"/>
          <w:sz w:val="28"/>
          <w:szCs w:val="28"/>
        </w:rPr>
        <w:t>前項業務如遇申請人至管轄所申請者，管轄所應填具「地籍資料調</w:t>
      </w:r>
      <w:r w:rsidRPr="00952D9F">
        <w:rPr>
          <w:rFonts w:ascii="標楷體" w:eastAsia="標楷體" w:hAnsi="標楷體" w:hint="eastAsia"/>
          <w:color w:val="000000"/>
          <w:spacing w:val="15"/>
          <w:sz w:val="28"/>
          <w:szCs w:val="28"/>
        </w:rPr>
        <w:lastRenderedPageBreak/>
        <w:tab/>
      </w:r>
      <w:r>
        <w:rPr>
          <w:rFonts w:ascii="標楷體" w:eastAsia="標楷體" w:hAnsi="標楷體" w:hint="eastAsia"/>
          <w:color w:val="000000"/>
          <w:spacing w:val="15"/>
          <w:sz w:val="28"/>
          <w:szCs w:val="28"/>
        </w:rPr>
        <w:t xml:space="preserve"> </w:t>
      </w:r>
      <w:r w:rsidRPr="00952D9F">
        <w:rPr>
          <w:rFonts w:ascii="標楷體" w:eastAsia="標楷體" w:hAnsi="標楷體" w:hint="eastAsia"/>
          <w:color w:val="000000"/>
          <w:spacing w:val="15"/>
          <w:sz w:val="28"/>
          <w:szCs w:val="28"/>
        </w:rPr>
        <w:t>案單」向原受理所聯繫傳遞。</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十二、跨所土地登記案件之申請人申請退還已繳之登記規費及罰鍰時，應向原受</w:t>
      </w:r>
      <w:r>
        <w:rPr>
          <w:rFonts w:ascii="標楷體" w:eastAsia="標楷體" w:hAnsi="標楷體" w:hint="eastAsia"/>
          <w:sz w:val="28"/>
          <w:szCs w:val="28"/>
        </w:rPr>
        <w:tab/>
        <w:t xml:space="preserve">  </w:t>
      </w:r>
      <w:r w:rsidRPr="00952D9F">
        <w:rPr>
          <w:rFonts w:ascii="標楷體" w:eastAsia="標楷體" w:hAnsi="標楷體" w:hint="eastAsia"/>
          <w:sz w:val="28"/>
          <w:szCs w:val="28"/>
        </w:rPr>
        <w:t>理所申請辦理。</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十三、跨所土地登記案件辦理完竣後，相關異動清冊及異動通知書之產製與保管，</w:t>
      </w:r>
      <w:r>
        <w:rPr>
          <w:rFonts w:ascii="標楷體" w:eastAsia="標楷體" w:hAnsi="標楷體" w:hint="eastAsia"/>
          <w:sz w:val="28"/>
          <w:szCs w:val="28"/>
        </w:rPr>
        <w:tab/>
        <w:t xml:space="preserve">  </w:t>
      </w:r>
      <w:r w:rsidRPr="00952D9F">
        <w:rPr>
          <w:rFonts w:ascii="標楷體" w:eastAsia="標楷體" w:hAnsi="標楷體" w:hint="eastAsia"/>
          <w:sz w:val="28"/>
          <w:szCs w:val="28"/>
        </w:rPr>
        <w:t>由管轄所辦理。</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十四、跨所土地登記案件，於登記完畢後發現有登記錯誤、遺漏或虛偽時，由原</w:t>
      </w:r>
      <w:r>
        <w:rPr>
          <w:rFonts w:ascii="標楷體" w:eastAsia="標楷體" w:hAnsi="標楷體" w:hint="eastAsia"/>
          <w:sz w:val="28"/>
          <w:szCs w:val="28"/>
        </w:rPr>
        <w:tab/>
        <w:t xml:space="preserve">  </w:t>
      </w:r>
      <w:r w:rsidRPr="00952D9F">
        <w:rPr>
          <w:rFonts w:ascii="標楷體" w:eastAsia="標楷體" w:hAnsi="標楷體" w:hint="eastAsia"/>
          <w:sz w:val="28"/>
          <w:szCs w:val="28"/>
        </w:rPr>
        <w:t>受理所辦理更正登記。</w:t>
      </w:r>
    </w:p>
    <w:p w:rsidR="00952D9F" w:rsidRPr="00952D9F" w:rsidRDefault="00952D9F" w:rsidP="00952D9F">
      <w:pPr>
        <w:rPr>
          <w:rFonts w:ascii="標楷體" w:eastAsia="標楷體" w:hAnsi="標楷體"/>
          <w:sz w:val="28"/>
          <w:szCs w:val="28"/>
        </w:rPr>
      </w:pPr>
      <w:r w:rsidRPr="00952D9F">
        <w:rPr>
          <w:rFonts w:ascii="標楷體" w:eastAsia="標楷體" w:hAnsi="標楷體" w:hint="eastAsia"/>
          <w:sz w:val="28"/>
          <w:szCs w:val="28"/>
        </w:rPr>
        <w:t>十五、跨所土地登記案件之分層負責劃分及處理期限，依「苗栗縣各地政事務所</w:t>
      </w:r>
      <w:r w:rsidRPr="00952D9F">
        <w:rPr>
          <w:rFonts w:ascii="標楷體" w:eastAsia="標楷體" w:hAnsi="標楷體" w:hint="eastAsia"/>
          <w:sz w:val="28"/>
          <w:szCs w:val="28"/>
        </w:rPr>
        <w:tab/>
        <w:t xml:space="preserve">  分層負責明細表暨人民案件處理期限表」規定辦理。</w:t>
      </w:r>
    </w:p>
    <w:p w:rsidR="00952D9F" w:rsidRPr="00952D9F" w:rsidRDefault="00952D9F" w:rsidP="00952D9F">
      <w:pPr>
        <w:rPr>
          <w:sz w:val="28"/>
          <w:szCs w:val="28"/>
        </w:rPr>
      </w:pPr>
      <w:r w:rsidRPr="00952D9F">
        <w:rPr>
          <w:rFonts w:ascii="標楷體" w:eastAsia="標楷體" w:hAnsi="標楷體" w:hint="eastAsia"/>
          <w:sz w:val="28"/>
          <w:szCs w:val="28"/>
        </w:rPr>
        <w:t>十六、除依本要點規定外，應向管轄所申請之事項，而誤向受理所申請者，受理</w:t>
      </w:r>
      <w:r w:rsidRPr="00952D9F">
        <w:rPr>
          <w:rFonts w:ascii="標楷體" w:eastAsia="標楷體" w:hAnsi="標楷體" w:hint="eastAsia"/>
          <w:sz w:val="28"/>
          <w:szCs w:val="28"/>
        </w:rPr>
        <w:tab/>
        <w:t xml:space="preserve">  所應於接獲申請後立即移送管轄所辦理，並副知申請人。</w:t>
      </w:r>
    </w:p>
    <w:sectPr w:rsidR="00952D9F" w:rsidRPr="00952D9F" w:rsidSect="00952D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7C" w:rsidRDefault="00A73B7C" w:rsidP="005E6898">
      <w:r>
        <w:separator/>
      </w:r>
    </w:p>
  </w:endnote>
  <w:endnote w:type="continuationSeparator" w:id="0">
    <w:p w:rsidR="00A73B7C" w:rsidRDefault="00A73B7C" w:rsidP="005E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7C" w:rsidRDefault="00A73B7C" w:rsidP="005E6898">
      <w:r>
        <w:separator/>
      </w:r>
    </w:p>
  </w:footnote>
  <w:footnote w:type="continuationSeparator" w:id="0">
    <w:p w:rsidR="00A73B7C" w:rsidRDefault="00A73B7C" w:rsidP="005E68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E70B3"/>
    <w:multiLevelType w:val="hybridMultilevel"/>
    <w:tmpl w:val="2F96E4CA"/>
    <w:lvl w:ilvl="0" w:tplc="0DFCF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9F"/>
    <w:rsid w:val="0001031C"/>
    <w:rsid w:val="002763B0"/>
    <w:rsid w:val="003712C6"/>
    <w:rsid w:val="00494C06"/>
    <w:rsid w:val="004A5F72"/>
    <w:rsid w:val="005E6898"/>
    <w:rsid w:val="007C5E79"/>
    <w:rsid w:val="00952D9F"/>
    <w:rsid w:val="00A468FC"/>
    <w:rsid w:val="00A73B7C"/>
    <w:rsid w:val="00B7763F"/>
    <w:rsid w:val="00CE1067"/>
    <w:rsid w:val="00D314E2"/>
    <w:rsid w:val="00E01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7B1AF"/>
  <w15:docId w15:val="{C3231AF5-0C33-498A-B700-58DB4066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D9F"/>
    <w:pPr>
      <w:ind w:leftChars="200" w:left="480"/>
    </w:pPr>
  </w:style>
  <w:style w:type="table" w:styleId="a4">
    <w:name w:val="Table Grid"/>
    <w:basedOn w:val="a1"/>
    <w:uiPriority w:val="59"/>
    <w:rsid w:val="00952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6898"/>
    <w:pPr>
      <w:tabs>
        <w:tab w:val="center" w:pos="4153"/>
        <w:tab w:val="right" w:pos="8306"/>
      </w:tabs>
      <w:snapToGrid w:val="0"/>
    </w:pPr>
    <w:rPr>
      <w:sz w:val="20"/>
      <w:szCs w:val="20"/>
    </w:rPr>
  </w:style>
  <w:style w:type="character" w:customStyle="1" w:styleId="a6">
    <w:name w:val="頁首 字元"/>
    <w:basedOn w:val="a0"/>
    <w:link w:val="a5"/>
    <w:uiPriority w:val="99"/>
    <w:rsid w:val="005E6898"/>
    <w:rPr>
      <w:sz w:val="20"/>
      <w:szCs w:val="20"/>
    </w:rPr>
  </w:style>
  <w:style w:type="paragraph" w:styleId="a7">
    <w:name w:val="footer"/>
    <w:basedOn w:val="a"/>
    <w:link w:val="a8"/>
    <w:uiPriority w:val="99"/>
    <w:unhideWhenUsed/>
    <w:rsid w:val="005E6898"/>
    <w:pPr>
      <w:tabs>
        <w:tab w:val="center" w:pos="4153"/>
        <w:tab w:val="right" w:pos="8306"/>
      </w:tabs>
      <w:snapToGrid w:val="0"/>
    </w:pPr>
    <w:rPr>
      <w:sz w:val="20"/>
      <w:szCs w:val="20"/>
    </w:rPr>
  </w:style>
  <w:style w:type="character" w:customStyle="1" w:styleId="a8">
    <w:name w:val="頁尾 字元"/>
    <w:basedOn w:val="a0"/>
    <w:link w:val="a7"/>
    <w:uiPriority w:val="99"/>
    <w:rsid w:val="005E6898"/>
    <w:rPr>
      <w:sz w:val="20"/>
      <w:szCs w:val="20"/>
    </w:rPr>
  </w:style>
  <w:style w:type="paragraph" w:styleId="a9">
    <w:name w:val="Date"/>
    <w:basedOn w:val="a"/>
    <w:next w:val="a"/>
    <w:link w:val="aa"/>
    <w:uiPriority w:val="99"/>
    <w:semiHidden/>
    <w:unhideWhenUsed/>
    <w:rsid w:val="00D314E2"/>
    <w:pPr>
      <w:jc w:val="right"/>
    </w:pPr>
  </w:style>
  <w:style w:type="character" w:customStyle="1" w:styleId="aa">
    <w:name w:val="日期 字元"/>
    <w:basedOn w:val="a0"/>
    <w:link w:val="a9"/>
    <w:uiPriority w:val="99"/>
    <w:semiHidden/>
    <w:rsid w:val="00D3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BAD9-3EFC-4EF2-BB99-A044235F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270</Words>
  <Characters>1541</Characters>
  <Application>Microsoft Office Word</Application>
  <DocSecurity>0</DocSecurity>
  <Lines>12</Lines>
  <Paragraphs>3</Paragraphs>
  <ScaleCrop>false</ScaleCrop>
  <Company>苗栗縣政府</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戴松萍</dc:creator>
  <cp:lastModifiedBy>244323</cp:lastModifiedBy>
  <cp:revision>10</cp:revision>
  <dcterms:created xsi:type="dcterms:W3CDTF">2015-03-28T02:08:00Z</dcterms:created>
  <dcterms:modified xsi:type="dcterms:W3CDTF">2019-02-22T08:21:00Z</dcterms:modified>
</cp:coreProperties>
</file>