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36" w:rsidRPr="00733A08" w:rsidRDefault="000A1536" w:rsidP="000A1536">
      <w:pPr>
        <w:pStyle w:val="Web"/>
        <w:shd w:val="clear" w:color="auto" w:fill="FFFFFF"/>
        <w:spacing w:before="0" w:beforeAutospacing="0" w:after="240" w:afterAutospacing="0"/>
        <w:rPr>
          <w:rFonts w:ascii="標楷體" w:eastAsia="標楷體" w:hAnsi="標楷體"/>
          <w:color w:val="000000"/>
          <w:sz w:val="27"/>
          <w:szCs w:val="27"/>
        </w:rPr>
      </w:pPr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內政部　令</w:t>
      </w:r>
      <w:r w:rsidRPr="00733A08">
        <w:rPr>
          <w:rFonts w:ascii="標楷體" w:eastAsia="標楷體" w:hAnsi="標楷體" w:hint="eastAsia"/>
          <w:color w:val="000000"/>
          <w:sz w:val="27"/>
          <w:szCs w:val="27"/>
        </w:rPr>
        <w:br/>
        <w:t>中華民國112年9月26日</w:t>
      </w:r>
      <w:r w:rsidRPr="00733A08">
        <w:rPr>
          <w:rFonts w:ascii="標楷體" w:eastAsia="標楷體" w:hAnsi="標楷體" w:hint="eastAsia"/>
          <w:color w:val="000000"/>
          <w:sz w:val="27"/>
          <w:szCs w:val="27"/>
        </w:rPr>
        <w:br/>
        <w:t>台內地字第11202658983號</w:t>
      </w:r>
    </w:p>
    <w:p w:rsidR="000A1536" w:rsidRPr="00733A08" w:rsidRDefault="000A1536" w:rsidP="000A1536">
      <w:pPr>
        <w:pStyle w:val="Web"/>
        <w:shd w:val="clear" w:color="auto" w:fill="FFFFFF"/>
        <w:spacing w:before="0" w:beforeAutospacing="0" w:after="240" w:afterAutospacing="0"/>
        <w:rPr>
          <w:rFonts w:ascii="標楷體" w:eastAsia="標楷體" w:hAnsi="標楷體"/>
          <w:color w:val="000000"/>
          <w:sz w:val="27"/>
          <w:szCs w:val="27"/>
        </w:rPr>
      </w:pPr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修正「</w:t>
      </w:r>
      <w:hyperlink r:id="rId4" w:history="1">
        <w:r w:rsidRPr="00733A08">
          <w:rPr>
            <w:rStyle w:val="a5"/>
            <w:rFonts w:ascii="標楷體" w:eastAsia="標楷體" w:hAnsi="標楷體" w:hint="eastAsia"/>
            <w:color w:val="4E92DF"/>
            <w:sz w:val="27"/>
            <w:szCs w:val="27"/>
          </w:rPr>
          <w:t>地籍</w:t>
        </w:r>
      </w:hyperlink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清理未能</w:t>
      </w:r>
      <w:proofErr w:type="gramStart"/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釐清權</w:t>
      </w:r>
      <w:proofErr w:type="gramEnd"/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屬土地代為標售辦法」第十條、第二十條。</w:t>
      </w:r>
      <w:r w:rsidRPr="00733A08">
        <w:rPr>
          <w:rFonts w:ascii="標楷體" w:eastAsia="標楷體" w:hAnsi="標楷體" w:hint="eastAsia"/>
          <w:color w:val="000000"/>
          <w:sz w:val="27"/>
          <w:szCs w:val="27"/>
        </w:rPr>
        <w:br/>
        <w:t>附修正「地籍清理未能</w:t>
      </w:r>
      <w:proofErr w:type="gramStart"/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釐清權</w:t>
      </w:r>
      <w:proofErr w:type="gramEnd"/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屬土地代為標售辦法」第十條、第二十條</w:t>
      </w:r>
    </w:p>
    <w:p w:rsidR="000A1536" w:rsidRPr="00733A08" w:rsidRDefault="000A1536" w:rsidP="000A1536">
      <w:pPr>
        <w:pStyle w:val="Web"/>
        <w:shd w:val="clear" w:color="auto" w:fill="FFFFFF"/>
        <w:spacing w:before="0" w:beforeAutospacing="0" w:after="240" w:afterAutospacing="0"/>
        <w:rPr>
          <w:rFonts w:ascii="標楷體" w:eastAsia="標楷體" w:hAnsi="標楷體"/>
          <w:color w:val="000000"/>
          <w:sz w:val="27"/>
          <w:szCs w:val="27"/>
        </w:rPr>
      </w:pPr>
      <w:bookmarkStart w:id="0" w:name="_GoBack"/>
      <w:bookmarkEnd w:id="0"/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地籍清理未能</w:t>
      </w:r>
      <w:proofErr w:type="gramStart"/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釐清權</w:t>
      </w:r>
      <w:proofErr w:type="gramEnd"/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屬土地代為標售辦法第十條、第二十條修正條文</w:t>
      </w:r>
    </w:p>
    <w:p w:rsidR="000A1536" w:rsidRPr="00733A08" w:rsidRDefault="000A1536" w:rsidP="000A1536">
      <w:pPr>
        <w:pStyle w:val="Web"/>
        <w:shd w:val="clear" w:color="auto" w:fill="FFFFFF"/>
        <w:spacing w:before="0" w:beforeAutospacing="0" w:after="240" w:afterAutospacing="0"/>
        <w:rPr>
          <w:rFonts w:ascii="標楷體" w:eastAsia="標楷體" w:hAnsi="標楷體"/>
          <w:color w:val="000000"/>
          <w:sz w:val="27"/>
          <w:szCs w:val="27"/>
        </w:rPr>
      </w:pPr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第十條</w:t>
      </w:r>
      <w:r w:rsidRPr="00733A08">
        <w:rPr>
          <w:rFonts w:ascii="標楷體" w:eastAsia="標楷體" w:hAnsi="標楷體" w:hint="eastAsia"/>
          <w:color w:val="000000"/>
          <w:sz w:val="27"/>
          <w:szCs w:val="27"/>
        </w:rPr>
        <w:br/>
        <w:t>主張優先購買標售土地者，應以同一條件為之，並於決標後十日內，預繳相當於</w:t>
      </w:r>
      <w:hyperlink r:id="rId5" w:history="1">
        <w:r w:rsidRPr="00733A08">
          <w:rPr>
            <w:rStyle w:val="a5"/>
            <w:rFonts w:ascii="標楷體" w:eastAsia="標楷體" w:hAnsi="標楷體" w:hint="eastAsia"/>
            <w:color w:val="4E92DF"/>
            <w:sz w:val="27"/>
            <w:szCs w:val="27"/>
          </w:rPr>
          <w:t>保證</w:t>
        </w:r>
      </w:hyperlink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金之價款，檢附下列文件，以書面向直轄市或縣（市）主管機關為承買之</w:t>
      </w:r>
      <w:hyperlink r:id="rId6" w:history="1">
        <w:r w:rsidRPr="00733A08">
          <w:rPr>
            <w:rStyle w:val="a5"/>
            <w:rFonts w:ascii="標楷體" w:eastAsia="標楷體" w:hAnsi="標楷體" w:hint="eastAsia"/>
            <w:color w:val="4E92DF"/>
            <w:sz w:val="27"/>
            <w:szCs w:val="27"/>
          </w:rPr>
          <w:t>意思表示</w:t>
        </w:r>
      </w:hyperlink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，逾期</w:t>
      </w:r>
      <w:hyperlink r:id="rId7" w:tgtFrame="_blank" w:history="1">
        <w:r w:rsidRPr="00733A08">
          <w:rPr>
            <w:rStyle w:val="a5"/>
            <w:rFonts w:ascii="標楷體" w:eastAsia="標楷體" w:hAnsi="標楷體" w:hint="eastAsia"/>
            <w:i/>
            <w:iCs/>
            <w:color w:val="2D5C88"/>
            <w:sz w:val="27"/>
            <w:szCs w:val="27"/>
          </w:rPr>
          <w:t>視為</w:t>
        </w:r>
      </w:hyperlink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放棄</w:t>
      </w:r>
      <w:hyperlink r:id="rId8" w:history="1">
        <w:r w:rsidRPr="00733A08">
          <w:rPr>
            <w:rStyle w:val="a5"/>
            <w:rFonts w:ascii="標楷體" w:eastAsia="標楷體" w:hAnsi="標楷體" w:hint="eastAsia"/>
            <w:color w:val="4E92DF"/>
            <w:sz w:val="27"/>
            <w:szCs w:val="27"/>
          </w:rPr>
          <w:t>優先購買權</w:t>
        </w:r>
      </w:hyperlink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：</w:t>
      </w:r>
      <w:r w:rsidRPr="00733A08">
        <w:rPr>
          <w:rFonts w:ascii="標楷體" w:eastAsia="標楷體" w:hAnsi="標楷體" w:hint="eastAsia"/>
          <w:color w:val="000000"/>
          <w:sz w:val="27"/>
          <w:szCs w:val="27"/>
        </w:rPr>
        <w:br/>
        <w:t>一、身分證明文件。</w:t>
      </w:r>
      <w:r w:rsidRPr="00733A08">
        <w:rPr>
          <w:rFonts w:ascii="標楷體" w:eastAsia="標楷體" w:hAnsi="標楷體" w:hint="eastAsia"/>
          <w:color w:val="000000"/>
          <w:sz w:val="27"/>
          <w:szCs w:val="27"/>
        </w:rPr>
        <w:br/>
        <w:t>二、預繳相當於</w:t>
      </w:r>
      <w:hyperlink r:id="rId9" w:history="1">
        <w:r w:rsidRPr="00733A08">
          <w:rPr>
            <w:rStyle w:val="a5"/>
            <w:rFonts w:ascii="標楷體" w:eastAsia="標楷體" w:hAnsi="標楷體" w:hint="eastAsia"/>
            <w:color w:val="4E92DF"/>
            <w:sz w:val="27"/>
            <w:szCs w:val="27"/>
          </w:rPr>
          <w:t>保證金</w:t>
        </w:r>
      </w:hyperlink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價款之證明文件。</w:t>
      </w:r>
      <w:r w:rsidRPr="00733A08">
        <w:rPr>
          <w:rFonts w:ascii="標楷體" w:eastAsia="標楷體" w:hAnsi="標楷體" w:hint="eastAsia"/>
          <w:color w:val="000000"/>
          <w:sz w:val="27"/>
          <w:szCs w:val="27"/>
        </w:rPr>
        <w:br/>
        <w:t>三、申請人為土地</w:t>
      </w:r>
      <w:hyperlink r:id="rId10" w:history="1">
        <w:r w:rsidRPr="00733A08">
          <w:rPr>
            <w:rStyle w:val="a5"/>
            <w:rFonts w:ascii="標楷體" w:eastAsia="標楷體" w:hAnsi="標楷體" w:hint="eastAsia"/>
            <w:color w:val="4E92DF"/>
            <w:sz w:val="27"/>
            <w:szCs w:val="27"/>
          </w:rPr>
          <w:t>占有</w:t>
        </w:r>
      </w:hyperlink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人者，並應檢附第十一條規定之證明文件。</w:t>
      </w:r>
      <w:r w:rsidRPr="00733A08">
        <w:rPr>
          <w:rFonts w:ascii="標楷體" w:eastAsia="標楷體" w:hAnsi="標楷體" w:hint="eastAsia"/>
          <w:color w:val="000000"/>
          <w:sz w:val="27"/>
          <w:szCs w:val="27"/>
        </w:rPr>
        <w:br/>
        <w:t>四、申請人為</w:t>
      </w:r>
      <w:hyperlink r:id="rId11" w:history="1">
        <w:r w:rsidRPr="00733A08">
          <w:rPr>
            <w:rStyle w:val="a5"/>
            <w:rFonts w:ascii="標楷體" w:eastAsia="標楷體" w:hAnsi="標楷體" w:hint="eastAsia"/>
            <w:color w:val="4E92DF"/>
            <w:sz w:val="27"/>
            <w:szCs w:val="27"/>
          </w:rPr>
          <w:t>地上權</w:t>
        </w:r>
      </w:hyperlink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人、</w:t>
      </w:r>
      <w:hyperlink r:id="rId12" w:history="1">
        <w:r w:rsidRPr="00733A08">
          <w:rPr>
            <w:rStyle w:val="a5"/>
            <w:rFonts w:ascii="標楷體" w:eastAsia="標楷體" w:hAnsi="標楷體" w:hint="eastAsia"/>
            <w:color w:val="4E92DF"/>
            <w:sz w:val="27"/>
            <w:szCs w:val="27"/>
          </w:rPr>
          <w:t>典權</w:t>
        </w:r>
      </w:hyperlink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人、永佃權人、</w:t>
      </w:r>
      <w:hyperlink r:id="rId13" w:history="1">
        <w:proofErr w:type="gramStart"/>
        <w:r w:rsidRPr="00733A08">
          <w:rPr>
            <w:rStyle w:val="a5"/>
            <w:rFonts w:ascii="標楷體" w:eastAsia="標楷體" w:hAnsi="標楷體" w:hint="eastAsia"/>
            <w:color w:val="4E92DF"/>
            <w:sz w:val="27"/>
            <w:szCs w:val="27"/>
          </w:rPr>
          <w:t>農育權</w:t>
        </w:r>
        <w:proofErr w:type="gramEnd"/>
      </w:hyperlink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人、</w:t>
      </w:r>
      <w:hyperlink r:id="rId14" w:history="1">
        <w:r w:rsidRPr="00733A08">
          <w:rPr>
            <w:rStyle w:val="a5"/>
            <w:rFonts w:ascii="標楷體" w:eastAsia="標楷體" w:hAnsi="標楷體" w:hint="eastAsia"/>
            <w:color w:val="4E92DF"/>
            <w:sz w:val="27"/>
            <w:szCs w:val="27"/>
          </w:rPr>
          <w:t>共有土地</w:t>
        </w:r>
      </w:hyperlink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之他</w:t>
      </w:r>
      <w:hyperlink r:id="rId15" w:history="1">
        <w:r w:rsidRPr="00733A08">
          <w:rPr>
            <w:rStyle w:val="a5"/>
            <w:rFonts w:ascii="標楷體" w:eastAsia="標楷體" w:hAnsi="標楷體" w:hint="eastAsia"/>
            <w:color w:val="4E92DF"/>
            <w:sz w:val="27"/>
            <w:szCs w:val="27"/>
          </w:rPr>
          <w:t>共有</w:t>
        </w:r>
      </w:hyperlink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人之</w:t>
      </w:r>
      <w:hyperlink r:id="rId16" w:tgtFrame="_blank" w:history="1">
        <w:r w:rsidRPr="00733A08">
          <w:rPr>
            <w:rStyle w:val="a5"/>
            <w:rFonts w:ascii="標楷體" w:eastAsia="標楷體" w:hAnsi="標楷體" w:hint="eastAsia"/>
            <w:i/>
            <w:iCs/>
            <w:color w:val="2D5C88"/>
            <w:sz w:val="27"/>
            <w:szCs w:val="27"/>
          </w:rPr>
          <w:t>繼承</w:t>
        </w:r>
      </w:hyperlink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人者，並應檢附記載被繼承人死亡記事之戶籍謄本、</w:t>
      </w:r>
      <w:proofErr w:type="gramStart"/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繼承人現戶戶籍</w:t>
      </w:r>
      <w:proofErr w:type="gramEnd"/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謄本及繼承系統表。但戶籍謄本能以電腦處理達成查詢者，得免提出。</w:t>
      </w:r>
      <w:r w:rsidRPr="00733A08">
        <w:rPr>
          <w:rFonts w:ascii="標楷體" w:eastAsia="標楷體" w:hAnsi="標楷體" w:hint="eastAsia"/>
          <w:color w:val="000000"/>
          <w:sz w:val="27"/>
          <w:szCs w:val="27"/>
        </w:rPr>
        <w:br/>
        <w:t>五、申請人為基地或</w:t>
      </w:r>
      <w:hyperlink r:id="rId17" w:history="1">
        <w:r w:rsidRPr="00733A08">
          <w:rPr>
            <w:rStyle w:val="a5"/>
            <w:rFonts w:ascii="標楷體" w:eastAsia="標楷體" w:hAnsi="標楷體" w:hint="eastAsia"/>
            <w:color w:val="4E92DF"/>
            <w:sz w:val="27"/>
            <w:szCs w:val="27"/>
          </w:rPr>
          <w:t>耕地</w:t>
        </w:r>
      </w:hyperlink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承租人者，並應檢附</w:t>
      </w:r>
      <w:hyperlink r:id="rId18" w:history="1">
        <w:r w:rsidRPr="00733A08">
          <w:rPr>
            <w:rStyle w:val="a5"/>
            <w:rFonts w:ascii="標楷體" w:eastAsia="標楷體" w:hAnsi="標楷體" w:hint="eastAsia"/>
            <w:color w:val="4E92DF"/>
            <w:sz w:val="27"/>
            <w:szCs w:val="27"/>
          </w:rPr>
          <w:t>租賃</w:t>
        </w:r>
      </w:hyperlink>
      <w:hyperlink r:id="rId19" w:history="1">
        <w:r w:rsidRPr="00733A08">
          <w:rPr>
            <w:rStyle w:val="a5"/>
            <w:rFonts w:ascii="標楷體" w:eastAsia="標楷體" w:hAnsi="標楷體" w:hint="eastAsia"/>
            <w:color w:val="4E92DF"/>
            <w:sz w:val="27"/>
            <w:szCs w:val="27"/>
          </w:rPr>
          <w:t>契約</w:t>
        </w:r>
      </w:hyperlink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書或經法院判決租賃關係存在之確定判決書及確定證明書；其為耕地三七五租約承租人者，並應</w:t>
      </w:r>
      <w:proofErr w:type="gramStart"/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檢附鄉</w:t>
      </w:r>
      <w:proofErr w:type="gramEnd"/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（鎮、市、區）公所出具之租約登記資料。</w:t>
      </w:r>
      <w:r w:rsidRPr="00733A08">
        <w:rPr>
          <w:rFonts w:ascii="標楷體" w:eastAsia="標楷體" w:hAnsi="標楷體" w:hint="eastAsia"/>
          <w:color w:val="000000"/>
          <w:sz w:val="27"/>
          <w:szCs w:val="27"/>
        </w:rPr>
        <w:br/>
        <w:t>六、其他經中央地政機關規定之證明文件。</w:t>
      </w:r>
    </w:p>
    <w:p w:rsidR="000A1536" w:rsidRPr="00733A08" w:rsidRDefault="000A1536" w:rsidP="000A1536">
      <w:pPr>
        <w:pStyle w:val="Web"/>
        <w:shd w:val="clear" w:color="auto" w:fill="FFFFFF"/>
        <w:spacing w:before="0" w:beforeAutospacing="0" w:after="240" w:afterAutospacing="0"/>
        <w:rPr>
          <w:rFonts w:ascii="標楷體" w:eastAsia="標楷體" w:hAnsi="標楷體"/>
          <w:color w:val="000000"/>
          <w:sz w:val="27"/>
          <w:szCs w:val="27"/>
        </w:rPr>
      </w:pPr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第二十條</w:t>
      </w:r>
      <w:r w:rsidRPr="00733A08">
        <w:rPr>
          <w:rFonts w:ascii="標楷體" w:eastAsia="標楷體" w:hAnsi="標楷體" w:hint="eastAsia"/>
          <w:color w:val="000000"/>
          <w:sz w:val="27"/>
          <w:szCs w:val="27"/>
        </w:rPr>
        <w:br/>
        <w:t>經二次標售未完</w:t>
      </w:r>
      <w:proofErr w:type="gramStart"/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成標售者</w:t>
      </w:r>
      <w:proofErr w:type="gramEnd"/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，由直轄市或縣（市）主管機關依本條例第十五條第一項規定，囑託登記機關登記為國有，並於登記完竣後，由登記機關</w:t>
      </w:r>
      <w:proofErr w:type="gramStart"/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繕</w:t>
      </w:r>
      <w:proofErr w:type="gramEnd"/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造清冊，通知財政部國有財產署及直轄市或縣（市）主管機關。</w:t>
      </w:r>
      <w:r w:rsidRPr="00733A08">
        <w:rPr>
          <w:rFonts w:ascii="標楷體" w:eastAsia="標楷體" w:hAnsi="標楷體" w:hint="eastAsia"/>
          <w:color w:val="000000"/>
          <w:sz w:val="27"/>
          <w:szCs w:val="27"/>
        </w:rPr>
        <w:br/>
        <w:t>直轄市或縣（市）主管機關接獲登記機關通知後，應於代為標售土地所在地之鄉（鎮、市、區）公所、村（里）辦公處公告三個月及刊登政府公報，並自公告之日起刊登當地通行之一種新聞紙連續三日，且於直轄市或縣（市）主管機關及鄉（鎮、市、區）公所電腦網站刊登公告文三十日；直轄市或縣（市）主管機關能查明代為</w:t>
      </w:r>
      <w:proofErr w:type="gramStart"/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標售土</w:t>
      </w:r>
      <w:proofErr w:type="gramEnd"/>
      <w:r w:rsidRPr="00733A08">
        <w:rPr>
          <w:rFonts w:ascii="標楷體" w:eastAsia="標楷體" w:hAnsi="標楷體"/>
          <w:color w:val="000000"/>
          <w:sz w:val="27"/>
          <w:szCs w:val="27"/>
        </w:rPr>
        <w:fldChar w:fldCharType="begin"/>
      </w:r>
      <w:r w:rsidRPr="00733A08">
        <w:rPr>
          <w:rFonts w:ascii="標楷體" w:eastAsia="標楷體" w:hAnsi="標楷體"/>
          <w:color w:val="000000"/>
          <w:sz w:val="27"/>
          <w:szCs w:val="27"/>
        </w:rPr>
        <w:instrText xml:space="preserve"> HYPERLINK "https://www.lawtw.com/archives/tag/%e5%9c%b0%e6%ac%8a" \o "" </w:instrText>
      </w:r>
      <w:r w:rsidRPr="00733A08">
        <w:rPr>
          <w:rFonts w:ascii="標楷體" w:eastAsia="標楷體" w:hAnsi="標楷體"/>
          <w:color w:val="000000"/>
          <w:sz w:val="27"/>
          <w:szCs w:val="27"/>
        </w:rPr>
        <w:fldChar w:fldCharType="separate"/>
      </w:r>
      <w:r w:rsidRPr="00733A08">
        <w:rPr>
          <w:rStyle w:val="a5"/>
          <w:rFonts w:ascii="標楷體" w:eastAsia="標楷體" w:hAnsi="標楷體" w:hint="eastAsia"/>
          <w:color w:val="4E92DF"/>
          <w:sz w:val="27"/>
          <w:szCs w:val="27"/>
        </w:rPr>
        <w:t>地權</w:t>
      </w:r>
      <w:r w:rsidRPr="00733A08">
        <w:rPr>
          <w:rFonts w:ascii="標楷體" w:eastAsia="標楷體" w:hAnsi="標楷體"/>
          <w:color w:val="000000"/>
          <w:sz w:val="27"/>
          <w:szCs w:val="27"/>
        </w:rPr>
        <w:fldChar w:fldCharType="end"/>
      </w:r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利人或</w:t>
      </w:r>
      <w:hyperlink r:id="rId20" w:history="1">
        <w:r w:rsidRPr="00733A08">
          <w:rPr>
            <w:rStyle w:val="a5"/>
            <w:rFonts w:ascii="標楷體" w:eastAsia="標楷體" w:hAnsi="標楷體" w:hint="eastAsia"/>
            <w:color w:val="4E92DF"/>
            <w:sz w:val="27"/>
            <w:szCs w:val="27"/>
          </w:rPr>
          <w:t>利害關係人</w:t>
        </w:r>
      </w:hyperlink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者，應於公告時以雙掛號或其他得收取回執之方式通知，並將</w:t>
      </w:r>
      <w:proofErr w:type="gramStart"/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辦竣囑託</w:t>
      </w:r>
      <w:proofErr w:type="gramEnd"/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登記國有土地清冊送地籍清理土地權利價金保管款保管處所。</w:t>
      </w:r>
      <w:r w:rsidRPr="00733A08">
        <w:rPr>
          <w:rFonts w:ascii="標楷體" w:eastAsia="標楷體" w:hAnsi="標楷體" w:hint="eastAsia"/>
          <w:color w:val="000000"/>
          <w:sz w:val="27"/>
          <w:szCs w:val="27"/>
        </w:rPr>
        <w:br/>
        <w:t>直轄市或縣（市）主管機關依本條例第十五條之</w:t>
      </w:r>
      <w:proofErr w:type="gramStart"/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一</w:t>
      </w:r>
      <w:proofErr w:type="gramEnd"/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規定發給權利人土地價金之審查、公告、通知及領取程序，</w:t>
      </w:r>
      <w:hyperlink r:id="rId21" w:tgtFrame="_blank" w:history="1">
        <w:proofErr w:type="gramStart"/>
        <w:r w:rsidRPr="00733A08">
          <w:rPr>
            <w:rStyle w:val="a5"/>
            <w:rFonts w:ascii="標楷體" w:eastAsia="標楷體" w:hAnsi="標楷體" w:hint="eastAsia"/>
            <w:i/>
            <w:iCs/>
            <w:color w:val="2D5C88"/>
            <w:sz w:val="27"/>
            <w:szCs w:val="27"/>
          </w:rPr>
          <w:t>準</w:t>
        </w:r>
        <w:proofErr w:type="gramEnd"/>
        <w:r w:rsidRPr="00733A08">
          <w:rPr>
            <w:rStyle w:val="a5"/>
            <w:rFonts w:ascii="標楷體" w:eastAsia="標楷體" w:hAnsi="標楷體" w:hint="eastAsia"/>
            <w:i/>
            <w:iCs/>
            <w:color w:val="2D5C88"/>
            <w:sz w:val="27"/>
            <w:szCs w:val="27"/>
          </w:rPr>
          <w:t>用</w:t>
        </w:r>
      </w:hyperlink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地籍清理土地權利價金保管款管理辦法規定辦理。</w:t>
      </w:r>
    </w:p>
    <w:p w:rsidR="000A1536" w:rsidRPr="00733A08" w:rsidRDefault="000A1536" w:rsidP="000A1536">
      <w:pPr>
        <w:pStyle w:val="Web"/>
        <w:shd w:val="clear" w:color="auto" w:fill="FFFFFF"/>
        <w:spacing w:before="0" w:beforeAutospacing="0" w:after="240" w:afterAutospacing="0"/>
        <w:rPr>
          <w:rFonts w:ascii="標楷體" w:eastAsia="標楷體" w:hAnsi="標楷體"/>
          <w:color w:val="000000"/>
          <w:sz w:val="27"/>
          <w:szCs w:val="27"/>
        </w:rPr>
      </w:pPr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地籍清理未能</w:t>
      </w:r>
      <w:proofErr w:type="gramStart"/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釐清權</w:t>
      </w:r>
      <w:proofErr w:type="gramEnd"/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屬土地代為標售辦法第十條、第二十條修正總說明及對照表：</w:t>
      </w:r>
      <w:hyperlink r:id="rId22" w:tgtFrame="_blank" w:history="1">
        <w:r w:rsidRPr="00733A08">
          <w:rPr>
            <w:rStyle w:val="a5"/>
            <w:rFonts w:ascii="標楷體" w:eastAsia="標楷體" w:hAnsi="標楷體" w:hint="eastAsia"/>
            <w:color w:val="2D5C88"/>
            <w:sz w:val="27"/>
            <w:szCs w:val="27"/>
          </w:rPr>
          <w:t>https://gazette.nat.gov.tw/EG_FileManager/eguploadpub/eg029183/ch02/type1/gov10/num4/images/AA.pdf</w:t>
        </w:r>
      </w:hyperlink>
    </w:p>
    <w:p w:rsidR="000A1536" w:rsidRPr="00733A08" w:rsidRDefault="000A1536" w:rsidP="000A1536">
      <w:pPr>
        <w:pStyle w:val="Web"/>
        <w:shd w:val="clear" w:color="auto" w:fill="FFFFFF"/>
        <w:spacing w:before="0" w:beforeAutospacing="0" w:after="240" w:afterAutospacing="0"/>
        <w:rPr>
          <w:rFonts w:ascii="標楷體" w:eastAsia="標楷體" w:hAnsi="標楷體"/>
          <w:color w:val="000000"/>
          <w:sz w:val="27"/>
          <w:szCs w:val="27"/>
        </w:rPr>
      </w:pPr>
      <w:r w:rsidRPr="00733A08">
        <w:rPr>
          <w:rFonts w:ascii="標楷體" w:eastAsia="標楷體" w:hAnsi="標楷體" w:hint="eastAsia"/>
          <w:color w:val="000000"/>
          <w:sz w:val="27"/>
          <w:szCs w:val="27"/>
        </w:rPr>
        <w:t>資料來源：內政部</w:t>
      </w:r>
    </w:p>
    <w:p w:rsidR="00001E54" w:rsidRPr="00733A08" w:rsidRDefault="00001E54" w:rsidP="000A1536">
      <w:pPr>
        <w:rPr>
          <w:rFonts w:ascii="標楷體" w:eastAsia="標楷體" w:hAnsi="標楷體"/>
        </w:rPr>
      </w:pPr>
    </w:p>
    <w:sectPr w:rsidR="00001E54" w:rsidRPr="00733A08" w:rsidSect="00001E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7B"/>
    <w:rsid w:val="00001E54"/>
    <w:rsid w:val="000A1536"/>
    <w:rsid w:val="00194E1F"/>
    <w:rsid w:val="00733A08"/>
    <w:rsid w:val="00A5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710B2-8577-4665-8642-1294F045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1E54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194E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94E1F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0A15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semiHidden/>
    <w:unhideWhenUsed/>
    <w:rsid w:val="000A1536"/>
    <w:rPr>
      <w:color w:val="0000FF"/>
      <w:u w:val="single"/>
    </w:rPr>
  </w:style>
  <w:style w:type="character" w:customStyle="1" w:styleId="tooltipstered">
    <w:name w:val="tooltipstered"/>
    <w:basedOn w:val="a0"/>
    <w:rsid w:val="000A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tw.com/archives/tag/%e5%84%aa%e5%85%88%e8%b3%bc%e8%b2%b7%e6%ac%8a" TargetMode="External"/><Relationship Id="rId13" Type="http://schemas.openxmlformats.org/officeDocument/2006/relationships/hyperlink" Target="https://www.lawtw.com/archives/tag/%e8%be%b2%e8%82%b2%e6%ac%8a" TargetMode="External"/><Relationship Id="rId18" Type="http://schemas.openxmlformats.org/officeDocument/2006/relationships/hyperlink" Target="https://www.lawtw.com/archives/tag/%e7%a7%9f%e8%b3%8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h.wikipedia.org/wiki/%E6%BA%96%E7%94%A8" TargetMode="External"/><Relationship Id="rId7" Type="http://schemas.openxmlformats.org/officeDocument/2006/relationships/hyperlink" Target="https://zh.wikipedia.org/wiki/%E8%A6%96%E7%82%BA" TargetMode="External"/><Relationship Id="rId12" Type="http://schemas.openxmlformats.org/officeDocument/2006/relationships/hyperlink" Target="https://www.lawtw.com/archives/tag/%e5%85%b8%e6%ac%8a" TargetMode="External"/><Relationship Id="rId17" Type="http://schemas.openxmlformats.org/officeDocument/2006/relationships/hyperlink" Target="https://www.lawtw.com/archives/tag/%e8%80%95%e5%9c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h.wikipedia.org/wiki/%E7%BB%A7%E6%89%BF" TargetMode="External"/><Relationship Id="rId20" Type="http://schemas.openxmlformats.org/officeDocument/2006/relationships/hyperlink" Target="https://www.lawtw.com/archives/tag/%e5%88%a9%e5%ae%b3%e9%97%9c%e4%bf%82%e4%ba%b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wtw.com/archives/tag/%e6%84%8f%e6%80%9d%e8%a1%a8%e7%a4%ba" TargetMode="External"/><Relationship Id="rId11" Type="http://schemas.openxmlformats.org/officeDocument/2006/relationships/hyperlink" Target="https://www.lawtw.com/archives/tag/%e5%9c%b0%e4%b8%8a%e6%ac%8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lawtw.com/archives/tag/%e4%bf%9d%e8%ad%89" TargetMode="External"/><Relationship Id="rId15" Type="http://schemas.openxmlformats.org/officeDocument/2006/relationships/hyperlink" Target="https://www.lawtw.com/archives/tag/%e5%85%b1%e6%9c%8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awtw.com/archives/tag/%e5%8d%a0%e6%9c%89" TargetMode="External"/><Relationship Id="rId19" Type="http://schemas.openxmlformats.org/officeDocument/2006/relationships/hyperlink" Target="https://www.lawtw.com/archives/tag/%e5%a5%91%e7%b4%84" TargetMode="External"/><Relationship Id="rId4" Type="http://schemas.openxmlformats.org/officeDocument/2006/relationships/hyperlink" Target="https://www.lawtw.com/archives/tag/%e5%9c%b0%e7%b1%8d" TargetMode="External"/><Relationship Id="rId9" Type="http://schemas.openxmlformats.org/officeDocument/2006/relationships/hyperlink" Target="https://www.lawtw.com/archives/tag/%e4%bf%9d%e8%ad%89%e9%87%91" TargetMode="External"/><Relationship Id="rId14" Type="http://schemas.openxmlformats.org/officeDocument/2006/relationships/hyperlink" Target="https://www.lawtw.com/archives/tag/%e5%85%b1%e6%9c%89%e5%9c%9f%e5%9c%b0" TargetMode="External"/><Relationship Id="rId22" Type="http://schemas.openxmlformats.org/officeDocument/2006/relationships/hyperlink" Target="https://gazette.nat.gov.tw/EG_FileManager/eguploadpub/eg029183/ch02/type1/gov10/num4/images/AA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戴松萍</dc:creator>
  <cp:keywords/>
  <dc:description/>
  <cp:lastModifiedBy>戴松萍</cp:lastModifiedBy>
  <cp:revision>4</cp:revision>
  <cp:lastPrinted>2023-09-27T06:05:00Z</cp:lastPrinted>
  <dcterms:created xsi:type="dcterms:W3CDTF">2023-09-27T02:48:00Z</dcterms:created>
  <dcterms:modified xsi:type="dcterms:W3CDTF">2023-09-27T06:05:00Z</dcterms:modified>
</cp:coreProperties>
</file>