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53" w:rsidRPr="00337C13" w:rsidRDefault="00B66B53" w:rsidP="00B66B53">
      <w:pPr>
        <w:widowControl/>
        <w:spacing w:line="360" w:lineRule="atLeast"/>
        <w:rPr>
          <w:rFonts w:ascii="標楷體" w:eastAsia="標楷體" w:hAnsi="標楷體" w:cs="新細明體"/>
          <w:b/>
          <w:bCs/>
          <w:color w:val="003366"/>
          <w:kern w:val="0"/>
          <w:sz w:val="27"/>
          <w:szCs w:val="27"/>
        </w:rPr>
      </w:pPr>
      <w:bookmarkStart w:id="0" w:name="_GoBack"/>
      <w:bookmarkEnd w:id="0"/>
      <w:r w:rsidRPr="00337C13">
        <w:rPr>
          <w:rFonts w:ascii="標楷體" w:eastAsia="標楷體" w:hAnsi="標楷體" w:cs="新細明體" w:hint="eastAsia"/>
          <w:b/>
          <w:bCs/>
          <w:color w:val="003366"/>
          <w:kern w:val="0"/>
          <w:sz w:val="27"/>
          <w:szCs w:val="27"/>
          <w:bdr w:val="none" w:sz="0" w:space="0" w:color="auto" w:frame="1"/>
        </w:rPr>
        <w:t>修正「直轄市縣（市）不動產糾紛調處委員會設置及調處辦法」</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中華民國一百十二年九月二十六日內政部台內地字第 11202658984  號</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令修正發布第 2、12、13、21、23  條條文；並自發布日施行</w:t>
      </w:r>
    </w:p>
    <w:p w:rsidR="00B66B53" w:rsidRPr="00337C13" w:rsidRDefault="00337C1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hyperlink r:id="rId4" w:history="1">
        <w:r w:rsidR="00B66B53" w:rsidRPr="00337C13">
          <w:rPr>
            <w:rFonts w:ascii="標楷體" w:eastAsia="標楷體" w:hAnsi="標楷體" w:cs="細明體" w:hint="eastAsia"/>
            <w:color w:val="0033CC"/>
            <w:kern w:val="0"/>
            <w:sz w:val="25"/>
            <w:szCs w:val="25"/>
            <w:u w:val="single"/>
            <w:bdr w:val="none" w:sz="0" w:space="0" w:color="auto" w:frame="1"/>
          </w:rPr>
          <w:t>第 2 條</w:t>
        </w:r>
      </w:hyperlink>
      <w:r w:rsidR="00B66B53" w:rsidRPr="00337C13">
        <w:rPr>
          <w:rFonts w:ascii="標楷體" w:eastAsia="標楷體" w:hAnsi="標楷體" w:cs="細明體" w:hint="eastAsia"/>
          <w:color w:val="000000"/>
          <w:kern w:val="0"/>
          <w:sz w:val="25"/>
          <w:szCs w:val="25"/>
        </w:rPr>
        <w:t xml:space="preserve">    下列各款不動產糾紛案件，依本辦法調處之：</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一、本法第三十四條之一第六項規定之共有物分割爭議。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二、本法第四十六條之二規定之地籍圖</w:t>
      </w:r>
      <w:proofErr w:type="gramStart"/>
      <w:r w:rsidRPr="00337C13">
        <w:rPr>
          <w:rFonts w:ascii="標楷體" w:eastAsia="標楷體" w:hAnsi="標楷體" w:cs="細明體" w:hint="eastAsia"/>
          <w:color w:val="000000"/>
          <w:kern w:val="0"/>
          <w:sz w:val="25"/>
          <w:szCs w:val="25"/>
        </w:rPr>
        <w:t>重測界址</w:t>
      </w:r>
      <w:proofErr w:type="gramEnd"/>
      <w:r w:rsidRPr="00337C13">
        <w:rPr>
          <w:rFonts w:ascii="標楷體" w:eastAsia="標楷體" w:hAnsi="標楷體" w:cs="細明體" w:hint="eastAsia"/>
          <w:color w:val="000000"/>
          <w:kern w:val="0"/>
          <w:sz w:val="25"/>
          <w:szCs w:val="25"/>
        </w:rPr>
        <w:t>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三、本法第五十九條第二項規定之土地權利爭議。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四、本法第一百零一條規定之房屋租用爭議。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五、本法第一百零五條規定之建築基地租用爭議。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六、本法第一百二十二條規定之耕地租用爭議。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七、本法施行法第三十條規定之有永佃權土地租用爭議。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八、租賃住宅市場發展及管理條例第十六條規定之住宅租賃爭議。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九、地籍清理條例第十四條第三項及第十五條之</w:t>
      </w:r>
      <w:proofErr w:type="gramStart"/>
      <w:r w:rsidRPr="00337C13">
        <w:rPr>
          <w:rFonts w:ascii="標楷體" w:eastAsia="標楷體" w:hAnsi="標楷體" w:cs="細明體" w:hint="eastAsia"/>
          <w:color w:val="000000"/>
          <w:kern w:val="0"/>
          <w:sz w:val="25"/>
          <w:szCs w:val="25"/>
        </w:rPr>
        <w:t>一</w:t>
      </w:r>
      <w:proofErr w:type="gramEnd"/>
      <w:r w:rsidRPr="00337C13">
        <w:rPr>
          <w:rFonts w:ascii="標楷體" w:eastAsia="標楷體" w:hAnsi="標楷體" w:cs="細明體" w:hint="eastAsia"/>
          <w:color w:val="000000"/>
          <w:kern w:val="0"/>
          <w:sz w:val="25"/>
          <w:szCs w:val="25"/>
        </w:rPr>
        <w:t>規定之土地權利價金發</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給爭議。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十、地籍清理條例第十五條第二項規定之發還土地爭議。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十一、地籍清理條例第十七條規定之以日據時期會社或組合名義更正登記</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十二、地籍清理條例第二十條規定之神明會申報涉及土地權利爭議。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十三、地籍清理條例第二十三條規定之更正神明會現會員、信徒名冊或土</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地清冊涉及土地權利爭議。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十四、地籍清理條例第二十七條規定之土地權利塗銷登記爭議。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十五、地籍清理條例第二十八條規定之</w:t>
      </w:r>
      <w:proofErr w:type="gramStart"/>
      <w:r w:rsidRPr="00337C13">
        <w:rPr>
          <w:rFonts w:ascii="標楷體" w:eastAsia="標楷體" w:hAnsi="標楷體" w:cs="細明體" w:hint="eastAsia"/>
          <w:color w:val="000000"/>
          <w:kern w:val="0"/>
          <w:sz w:val="25"/>
          <w:szCs w:val="25"/>
        </w:rPr>
        <w:t>抵押權塗銷</w:t>
      </w:r>
      <w:proofErr w:type="gramEnd"/>
      <w:r w:rsidRPr="00337C13">
        <w:rPr>
          <w:rFonts w:ascii="標楷體" w:eastAsia="標楷體" w:hAnsi="標楷體" w:cs="細明體" w:hint="eastAsia"/>
          <w:color w:val="000000"/>
          <w:kern w:val="0"/>
          <w:sz w:val="25"/>
          <w:szCs w:val="25"/>
        </w:rPr>
        <w:t>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十六、地籍清理條例第二十九條規定之</w:t>
      </w:r>
      <w:proofErr w:type="gramStart"/>
      <w:r w:rsidRPr="00337C13">
        <w:rPr>
          <w:rFonts w:ascii="標楷體" w:eastAsia="標楷體" w:hAnsi="標楷體" w:cs="細明體" w:hint="eastAsia"/>
          <w:color w:val="000000"/>
          <w:kern w:val="0"/>
          <w:sz w:val="25"/>
          <w:szCs w:val="25"/>
        </w:rPr>
        <w:t>地上權塗銷</w:t>
      </w:r>
      <w:proofErr w:type="gramEnd"/>
      <w:r w:rsidRPr="00337C13">
        <w:rPr>
          <w:rFonts w:ascii="標楷體" w:eastAsia="標楷體" w:hAnsi="標楷體" w:cs="細明體" w:hint="eastAsia"/>
          <w:color w:val="000000"/>
          <w:kern w:val="0"/>
          <w:sz w:val="25"/>
          <w:szCs w:val="25"/>
        </w:rPr>
        <w:t>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十七、地籍清理條例第三十條規定之查封、假扣押、假處分塗銷登記爭議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十八、地籍清理條例第三十一條第一項規定之共有土地各共有人之權利</w:t>
      </w:r>
      <w:proofErr w:type="gramStart"/>
      <w:r w:rsidRPr="00337C13">
        <w:rPr>
          <w:rFonts w:ascii="標楷體" w:eastAsia="標楷體" w:hAnsi="標楷體" w:cs="細明體" w:hint="eastAsia"/>
          <w:color w:val="000000"/>
          <w:kern w:val="0"/>
          <w:sz w:val="25"/>
          <w:szCs w:val="25"/>
        </w:rPr>
        <w:t>範</w:t>
      </w:r>
      <w:proofErr w:type="gramEnd"/>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圍合計不等於</w:t>
      </w:r>
      <w:proofErr w:type="gramStart"/>
      <w:r w:rsidRPr="00337C13">
        <w:rPr>
          <w:rFonts w:ascii="標楷體" w:eastAsia="標楷體" w:hAnsi="標楷體" w:cs="細明體" w:hint="eastAsia"/>
          <w:color w:val="000000"/>
          <w:kern w:val="0"/>
          <w:sz w:val="25"/>
          <w:szCs w:val="25"/>
        </w:rPr>
        <w:t>一</w:t>
      </w:r>
      <w:proofErr w:type="gramEnd"/>
      <w:r w:rsidRPr="00337C13">
        <w:rPr>
          <w:rFonts w:ascii="標楷體" w:eastAsia="標楷體" w:hAnsi="標楷體" w:cs="細明體" w:hint="eastAsia"/>
          <w:color w:val="000000"/>
          <w:kern w:val="0"/>
          <w:sz w:val="25"/>
          <w:szCs w:val="25"/>
        </w:rPr>
        <w:t>之更正登記爭議。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十九、地籍清理條例第三十一條之一第一項與第二項規定之所有權權利</w:t>
      </w:r>
      <w:proofErr w:type="gramStart"/>
      <w:r w:rsidRPr="00337C13">
        <w:rPr>
          <w:rFonts w:ascii="標楷體" w:eastAsia="標楷體" w:hAnsi="標楷體" w:cs="細明體" w:hint="eastAsia"/>
          <w:color w:val="000000"/>
          <w:kern w:val="0"/>
          <w:sz w:val="25"/>
          <w:szCs w:val="25"/>
        </w:rPr>
        <w:t>範</w:t>
      </w:r>
      <w:proofErr w:type="gramEnd"/>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圍空白之更正登記及第三項規定之所有權權利範圍空白之</w:t>
      </w:r>
      <w:proofErr w:type="gramStart"/>
      <w:r w:rsidRPr="00337C13">
        <w:rPr>
          <w:rFonts w:ascii="標楷體" w:eastAsia="標楷體" w:hAnsi="標楷體" w:cs="細明體" w:hint="eastAsia"/>
          <w:color w:val="000000"/>
          <w:kern w:val="0"/>
          <w:sz w:val="25"/>
          <w:szCs w:val="25"/>
        </w:rPr>
        <w:t>逕</w:t>
      </w:r>
      <w:proofErr w:type="gramEnd"/>
      <w:r w:rsidRPr="00337C13">
        <w:rPr>
          <w:rFonts w:ascii="標楷體" w:eastAsia="標楷體" w:hAnsi="標楷體" w:cs="細明體" w:hint="eastAsia"/>
          <w:color w:val="000000"/>
          <w:kern w:val="0"/>
          <w:sz w:val="25"/>
          <w:szCs w:val="25"/>
        </w:rPr>
        <w:t>為更正</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二十、地籍清理條例第三十二條規定之登記名義人姓名、名稱或住址記載</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不全或不符更正登記爭議。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二十一、地籍清理條例第三十三條規定之非以自然人、法人或適用監督寺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廟條例之寺廟名義更正登記爭議。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二十二、地籍清理條例第三十六條規定之寺廟或宗教團體申報發給更名證</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明爭議。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二十三、地籍清理條例第三十八條規定之寺廟或宗教性質之法人申購土地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權利爭議。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lastRenderedPageBreak/>
        <w:t xml:space="preserve">           二十四、土地登記規則第七十五條規定之土地總登記爭議。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二十五、土地登記規則第八十四條規定之建物所有權第一次登記爭議。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二十六、土地登記規則第一百十八條第四項、第五項規定之時效取得地上</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權、不動產役權或</w:t>
      </w:r>
      <w:proofErr w:type="gramStart"/>
      <w:r w:rsidRPr="00337C13">
        <w:rPr>
          <w:rFonts w:ascii="標楷體" w:eastAsia="標楷體" w:hAnsi="標楷體" w:cs="細明體" w:hint="eastAsia"/>
          <w:color w:val="000000"/>
          <w:kern w:val="0"/>
          <w:sz w:val="25"/>
          <w:szCs w:val="25"/>
        </w:rPr>
        <w:t>農育權</w:t>
      </w:r>
      <w:proofErr w:type="gramEnd"/>
      <w:r w:rsidRPr="00337C13">
        <w:rPr>
          <w:rFonts w:ascii="標楷體" w:eastAsia="標楷體" w:hAnsi="標楷體" w:cs="細明體" w:hint="eastAsia"/>
          <w:color w:val="000000"/>
          <w:kern w:val="0"/>
          <w:sz w:val="25"/>
          <w:szCs w:val="25"/>
        </w:rPr>
        <w:t>登記爭議。</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p>
    <w:p w:rsidR="00B66B53" w:rsidRPr="00337C13" w:rsidRDefault="00337C1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hyperlink r:id="rId5" w:history="1">
        <w:r w:rsidR="00B66B53" w:rsidRPr="00337C13">
          <w:rPr>
            <w:rFonts w:ascii="標楷體" w:eastAsia="標楷體" w:hAnsi="標楷體" w:cs="細明體" w:hint="eastAsia"/>
            <w:color w:val="0033CC"/>
            <w:kern w:val="0"/>
            <w:sz w:val="25"/>
            <w:szCs w:val="25"/>
            <w:u w:val="single"/>
            <w:bdr w:val="none" w:sz="0" w:space="0" w:color="auto" w:frame="1"/>
          </w:rPr>
          <w:t>第 12 條</w:t>
        </w:r>
      </w:hyperlink>
      <w:r w:rsidR="00B66B53" w:rsidRPr="00337C13">
        <w:rPr>
          <w:rFonts w:ascii="標楷體" w:eastAsia="標楷體" w:hAnsi="標楷體" w:cs="細明體" w:hint="eastAsia"/>
          <w:color w:val="000000"/>
          <w:kern w:val="0"/>
          <w:sz w:val="25"/>
          <w:szCs w:val="25"/>
        </w:rPr>
        <w:t xml:space="preserve">   直轄市或縣（市）政府為辦理第二條第二款、第三款、第十一款、第十四</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款至第二十一款及第二十四款至第二十六款之不動產糾紛案件，得依所轄</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之行政區域分設區域性不動產糾紛調處委員會，置委員七人，其中</w:t>
      </w:r>
      <w:proofErr w:type="gramStart"/>
      <w:r w:rsidRPr="00337C13">
        <w:rPr>
          <w:rFonts w:ascii="標楷體" w:eastAsia="標楷體" w:hAnsi="標楷體" w:cs="細明體" w:hint="eastAsia"/>
          <w:color w:val="000000"/>
          <w:kern w:val="0"/>
          <w:sz w:val="25"/>
          <w:szCs w:val="25"/>
        </w:rPr>
        <w:t>一</w:t>
      </w:r>
      <w:proofErr w:type="gramEnd"/>
      <w:r w:rsidRPr="00337C13">
        <w:rPr>
          <w:rFonts w:ascii="標楷體" w:eastAsia="標楷體" w:hAnsi="標楷體" w:cs="細明體" w:hint="eastAsia"/>
          <w:color w:val="000000"/>
          <w:kern w:val="0"/>
          <w:sz w:val="25"/>
          <w:szCs w:val="25"/>
        </w:rPr>
        <w:t>人為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主任委員，由直轄市或縣（市）政府地政業務主管兼任，其餘委員分別就</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下列人員派兼或</w:t>
      </w:r>
      <w:proofErr w:type="gramStart"/>
      <w:r w:rsidRPr="00337C13">
        <w:rPr>
          <w:rFonts w:ascii="標楷體" w:eastAsia="標楷體" w:hAnsi="標楷體" w:cs="細明體" w:hint="eastAsia"/>
          <w:color w:val="000000"/>
          <w:kern w:val="0"/>
          <w:sz w:val="25"/>
          <w:szCs w:val="25"/>
        </w:rPr>
        <w:t>遴</w:t>
      </w:r>
      <w:proofErr w:type="gramEnd"/>
      <w:r w:rsidRPr="00337C13">
        <w:rPr>
          <w:rFonts w:ascii="標楷體" w:eastAsia="標楷體" w:hAnsi="標楷體" w:cs="細明體" w:hint="eastAsia"/>
          <w:color w:val="000000"/>
          <w:kern w:val="0"/>
          <w:sz w:val="25"/>
          <w:szCs w:val="25"/>
        </w:rPr>
        <w:t>聘之：</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一、直轄市、縣（市）地政事務所主任一人。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二、鄉（鎮、市、區）調解委員會主席一人。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三、具有地政、營建及法律等專門學識經驗之人士各一人。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四、地方公正人士一人。</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區域性不動產糾紛調處委員會之委員任期、</w:t>
      </w:r>
      <w:proofErr w:type="gramStart"/>
      <w:r w:rsidRPr="00337C13">
        <w:rPr>
          <w:rFonts w:ascii="標楷體" w:eastAsia="標楷體" w:hAnsi="標楷體" w:cs="細明體" w:hint="eastAsia"/>
          <w:color w:val="000000"/>
          <w:kern w:val="0"/>
          <w:sz w:val="25"/>
          <w:szCs w:val="25"/>
        </w:rPr>
        <w:t>出缺補聘</w:t>
      </w:r>
      <w:proofErr w:type="gramEnd"/>
      <w:r w:rsidRPr="00337C13">
        <w:rPr>
          <w:rFonts w:ascii="標楷體" w:eastAsia="標楷體" w:hAnsi="標楷體" w:cs="細明體" w:hint="eastAsia"/>
          <w:color w:val="000000"/>
          <w:kern w:val="0"/>
          <w:sz w:val="25"/>
          <w:szCs w:val="25"/>
        </w:rPr>
        <w:t>、事務、無給職及會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議，</w:t>
      </w:r>
      <w:proofErr w:type="gramStart"/>
      <w:r w:rsidRPr="00337C13">
        <w:rPr>
          <w:rFonts w:ascii="標楷體" w:eastAsia="標楷體" w:hAnsi="標楷體" w:cs="細明體" w:hint="eastAsia"/>
          <w:color w:val="000000"/>
          <w:kern w:val="0"/>
          <w:sz w:val="25"/>
          <w:szCs w:val="25"/>
        </w:rPr>
        <w:t>準</w:t>
      </w:r>
      <w:proofErr w:type="gramEnd"/>
      <w:r w:rsidRPr="00337C13">
        <w:rPr>
          <w:rFonts w:ascii="標楷體" w:eastAsia="標楷體" w:hAnsi="標楷體" w:cs="細明體" w:hint="eastAsia"/>
          <w:color w:val="000000"/>
          <w:kern w:val="0"/>
          <w:sz w:val="25"/>
          <w:szCs w:val="25"/>
        </w:rPr>
        <w:t>用第三條第二項、第三項、第四條至第九條規定；其對外行文，以</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各該直轄市、縣（市）政府名義行之。</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第一項調處所需經費，由各該直轄市、縣（市）政府編列預算支應。</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p>
    <w:p w:rsidR="00B66B53" w:rsidRPr="00337C13" w:rsidRDefault="00337C1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hyperlink r:id="rId6" w:history="1">
        <w:r w:rsidR="00B66B53" w:rsidRPr="00337C13">
          <w:rPr>
            <w:rFonts w:ascii="標楷體" w:eastAsia="標楷體" w:hAnsi="標楷體" w:cs="細明體" w:hint="eastAsia"/>
            <w:color w:val="0033CC"/>
            <w:kern w:val="0"/>
            <w:sz w:val="25"/>
            <w:szCs w:val="25"/>
            <w:u w:val="single"/>
            <w:bdr w:val="none" w:sz="0" w:space="0" w:color="auto" w:frame="1"/>
          </w:rPr>
          <w:t>第 13 條</w:t>
        </w:r>
      </w:hyperlink>
      <w:r w:rsidR="00B66B53" w:rsidRPr="00337C13">
        <w:rPr>
          <w:rFonts w:ascii="標楷體" w:eastAsia="標楷體" w:hAnsi="標楷體" w:cs="細明體" w:hint="eastAsia"/>
          <w:color w:val="000000"/>
          <w:kern w:val="0"/>
          <w:sz w:val="25"/>
          <w:szCs w:val="25"/>
        </w:rPr>
        <w:t xml:space="preserve">   不動產糾紛案件，除第二條第二款、第三款、第九款至第二十六款之不動</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產糾紛案件得由該管登記機關或直轄市、縣（市）政府主動移送調處外，</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當事人</w:t>
      </w:r>
      <w:proofErr w:type="gramStart"/>
      <w:r w:rsidRPr="00337C13">
        <w:rPr>
          <w:rFonts w:ascii="標楷體" w:eastAsia="標楷體" w:hAnsi="標楷體" w:cs="細明體" w:hint="eastAsia"/>
          <w:color w:val="000000"/>
          <w:kern w:val="0"/>
          <w:sz w:val="25"/>
          <w:szCs w:val="25"/>
        </w:rPr>
        <w:t>一</w:t>
      </w:r>
      <w:proofErr w:type="gramEnd"/>
      <w:r w:rsidRPr="00337C13">
        <w:rPr>
          <w:rFonts w:ascii="標楷體" w:eastAsia="標楷體" w:hAnsi="標楷體" w:cs="細明體" w:hint="eastAsia"/>
          <w:color w:val="000000"/>
          <w:kern w:val="0"/>
          <w:sz w:val="25"/>
          <w:szCs w:val="25"/>
        </w:rPr>
        <w:t>造應具備下列文件向土地所在地之直轄市、縣（市）政府申請，</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並按對造及權利關係人人數，提出</w:t>
      </w:r>
      <w:proofErr w:type="gramStart"/>
      <w:r w:rsidRPr="00337C13">
        <w:rPr>
          <w:rFonts w:ascii="標楷體" w:eastAsia="標楷體" w:hAnsi="標楷體" w:cs="細明體" w:hint="eastAsia"/>
          <w:color w:val="000000"/>
          <w:kern w:val="0"/>
          <w:sz w:val="25"/>
          <w:szCs w:val="25"/>
        </w:rPr>
        <w:t>繕</w:t>
      </w:r>
      <w:proofErr w:type="gramEnd"/>
      <w:r w:rsidRPr="00337C13">
        <w:rPr>
          <w:rFonts w:ascii="標楷體" w:eastAsia="標楷體" w:hAnsi="標楷體" w:cs="細明體" w:hint="eastAsia"/>
          <w:color w:val="000000"/>
          <w:kern w:val="0"/>
          <w:sz w:val="25"/>
          <w:szCs w:val="25"/>
        </w:rPr>
        <w:t>本：</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一、申請書。</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二、申請人之身分證明文件。</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三、委託他人代為申請時，應檢附委託書。但申請書已載明委任關係者，</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免</w:t>
      </w:r>
      <w:proofErr w:type="gramStart"/>
      <w:r w:rsidRPr="00337C13">
        <w:rPr>
          <w:rFonts w:ascii="標楷體" w:eastAsia="標楷體" w:hAnsi="標楷體" w:cs="細明體" w:hint="eastAsia"/>
          <w:color w:val="000000"/>
          <w:kern w:val="0"/>
          <w:sz w:val="25"/>
          <w:szCs w:val="25"/>
        </w:rPr>
        <w:t>附</w:t>
      </w:r>
      <w:proofErr w:type="gramEnd"/>
      <w:r w:rsidRPr="00337C13">
        <w:rPr>
          <w:rFonts w:ascii="標楷體" w:eastAsia="標楷體" w:hAnsi="標楷體" w:cs="細明體" w:hint="eastAsia"/>
          <w:color w:val="000000"/>
          <w:kern w:val="0"/>
          <w:sz w:val="25"/>
          <w:szCs w:val="25"/>
        </w:rPr>
        <w:t>。</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四、爭議要點及調處建議方案。</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五、其他依法令規定應提出之文件。</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p>
    <w:p w:rsidR="00B66B53" w:rsidRPr="00337C13" w:rsidRDefault="00337C1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hyperlink r:id="rId7" w:history="1">
        <w:r w:rsidR="00B66B53" w:rsidRPr="00337C13">
          <w:rPr>
            <w:rFonts w:ascii="標楷體" w:eastAsia="標楷體" w:hAnsi="標楷體" w:cs="細明體" w:hint="eastAsia"/>
            <w:color w:val="0033CC"/>
            <w:kern w:val="0"/>
            <w:sz w:val="25"/>
            <w:szCs w:val="25"/>
            <w:u w:val="single"/>
            <w:bdr w:val="none" w:sz="0" w:space="0" w:color="auto" w:frame="1"/>
          </w:rPr>
          <w:t>第 21 條</w:t>
        </w:r>
      </w:hyperlink>
      <w:r w:rsidR="00B66B53" w:rsidRPr="00337C13">
        <w:rPr>
          <w:rFonts w:ascii="標楷體" w:eastAsia="標楷體" w:hAnsi="標楷體" w:cs="細明體" w:hint="eastAsia"/>
          <w:color w:val="000000"/>
          <w:kern w:val="0"/>
          <w:sz w:val="25"/>
          <w:szCs w:val="25"/>
        </w:rPr>
        <w:t xml:space="preserve">   申請調處第二條第一款及第四款至第七款之不動產糾紛調處案件，每件調</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處案申請人應依下列規定繳納調處費用：</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一、第二條第一款之案件：新臺幣一萬五千元。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二、第二條第四款至第七款之案件：</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（一）年租金為新臺幣十八萬元以下者：新臺幣三千元。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（二）年租金超過新臺幣十八萬元至三十六萬元以下者：新臺幣七千元。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（三）年租金超過新臺幣三十六萬元至四十八萬元以下者：新臺幣一萬一</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千元。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lastRenderedPageBreak/>
        <w:t xml:space="preserve">           （四）年租金超過新臺幣四十八萬元者：新臺幣一萬五千元。</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申請調處第二條第二款、第三款及第八款至第二十六款之不動產糾紛調處</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案件，免收調處費用。</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調處需勘測者，其費用由當事人核實支付。</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申請人於召開調處會議前撤回其申請，或因第十六條各款之情形被駁回者</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，其已繳納之調處費用及勘測費用，於扣除已支出之費用後，得自駁回之</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日起十年內請求退還之。但已實地辦理勘測者，其所繳納之勘測費用，不</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w:t>
      </w:r>
      <w:proofErr w:type="gramStart"/>
      <w:r w:rsidRPr="00337C13">
        <w:rPr>
          <w:rFonts w:ascii="標楷體" w:eastAsia="標楷體" w:hAnsi="標楷體" w:cs="細明體" w:hint="eastAsia"/>
          <w:color w:val="000000"/>
          <w:kern w:val="0"/>
          <w:sz w:val="25"/>
          <w:szCs w:val="25"/>
        </w:rPr>
        <w:t>予退</w:t>
      </w:r>
      <w:proofErr w:type="gramEnd"/>
      <w:r w:rsidRPr="00337C13">
        <w:rPr>
          <w:rFonts w:ascii="標楷體" w:eastAsia="標楷體" w:hAnsi="標楷體" w:cs="細明體" w:hint="eastAsia"/>
          <w:color w:val="000000"/>
          <w:kern w:val="0"/>
          <w:sz w:val="25"/>
          <w:szCs w:val="25"/>
        </w:rPr>
        <w:t>還。</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p>
    <w:p w:rsidR="00B66B53" w:rsidRPr="00337C13" w:rsidRDefault="00337C1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hyperlink r:id="rId8" w:history="1">
        <w:r w:rsidR="00B66B53" w:rsidRPr="00337C13">
          <w:rPr>
            <w:rFonts w:ascii="標楷體" w:eastAsia="標楷體" w:hAnsi="標楷體" w:cs="細明體" w:hint="eastAsia"/>
            <w:color w:val="0033CC"/>
            <w:kern w:val="0"/>
            <w:sz w:val="25"/>
            <w:szCs w:val="25"/>
            <w:u w:val="single"/>
            <w:bdr w:val="none" w:sz="0" w:space="0" w:color="auto" w:frame="1"/>
          </w:rPr>
          <w:t>第 23 條</w:t>
        </w:r>
      </w:hyperlink>
      <w:r w:rsidR="00B66B53" w:rsidRPr="00337C13">
        <w:rPr>
          <w:rFonts w:ascii="標楷體" w:eastAsia="標楷體" w:hAnsi="標楷體" w:cs="細明體" w:hint="eastAsia"/>
          <w:color w:val="000000"/>
          <w:kern w:val="0"/>
          <w:sz w:val="25"/>
          <w:szCs w:val="25"/>
        </w:rPr>
        <w:t xml:space="preserve">   本辦法除中華民國一百零七年四月二日修正發布條文自一百零七年六月二</w:t>
      </w:r>
    </w:p>
    <w:p w:rsidR="00B66B53" w:rsidRPr="00337C13" w:rsidRDefault="00B66B53" w:rsidP="00B66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5" w:lineRule="atLeast"/>
        <w:rPr>
          <w:rFonts w:ascii="標楷體" w:eastAsia="標楷體" w:hAnsi="標楷體" w:cs="細明體"/>
          <w:color w:val="000000"/>
          <w:kern w:val="0"/>
          <w:sz w:val="25"/>
          <w:szCs w:val="25"/>
        </w:rPr>
      </w:pPr>
      <w:r w:rsidRPr="00337C13">
        <w:rPr>
          <w:rFonts w:ascii="標楷體" w:eastAsia="標楷體" w:hAnsi="標楷體" w:cs="細明體" w:hint="eastAsia"/>
          <w:color w:val="000000"/>
          <w:kern w:val="0"/>
          <w:sz w:val="25"/>
          <w:szCs w:val="25"/>
        </w:rPr>
        <w:t xml:space="preserve">           十七日施行外，自發布日施行。</w:t>
      </w:r>
    </w:p>
    <w:p w:rsidR="00001E54" w:rsidRPr="00337C13" w:rsidRDefault="00001E54" w:rsidP="00B66B53">
      <w:pPr>
        <w:rPr>
          <w:rFonts w:ascii="標楷體" w:eastAsia="標楷體" w:hAnsi="標楷體"/>
        </w:rPr>
      </w:pPr>
    </w:p>
    <w:sectPr w:rsidR="00001E54" w:rsidRPr="00337C13" w:rsidSect="00001E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B"/>
    <w:rsid w:val="00001E54"/>
    <w:rsid w:val="00194E1F"/>
    <w:rsid w:val="00337C13"/>
    <w:rsid w:val="00A57F7B"/>
    <w:rsid w:val="00B66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10B2-8577-4665-8642-1294F04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E5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E5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94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4E1F"/>
    <w:rPr>
      <w:rFonts w:ascii="細明體" w:eastAsia="細明體" w:hAnsi="細明體" w:cs="細明體"/>
      <w:kern w:val="0"/>
      <w:szCs w:val="24"/>
    </w:rPr>
  </w:style>
  <w:style w:type="character" w:styleId="a5">
    <w:name w:val="Hyperlink"/>
    <w:basedOn w:val="a0"/>
    <w:uiPriority w:val="99"/>
    <w:semiHidden/>
    <w:unhideWhenUsed/>
    <w:rsid w:val="00B6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567">
      <w:bodyDiv w:val="1"/>
      <w:marLeft w:val="0"/>
      <w:marRight w:val="0"/>
      <w:marTop w:val="0"/>
      <w:marBottom w:val="0"/>
      <w:divBdr>
        <w:top w:val="none" w:sz="0" w:space="0" w:color="auto"/>
        <w:left w:val="none" w:sz="0" w:space="0" w:color="auto"/>
        <w:bottom w:val="none" w:sz="0" w:space="0" w:color="auto"/>
        <w:right w:val="none" w:sz="0" w:space="0" w:color="auto"/>
      </w:divBdr>
      <w:divsChild>
        <w:div w:id="162015944">
          <w:marLeft w:val="0"/>
          <w:marRight w:val="0"/>
          <w:marTop w:val="0"/>
          <w:marBottom w:val="0"/>
          <w:divBdr>
            <w:top w:val="none" w:sz="0" w:space="0" w:color="auto"/>
            <w:left w:val="none" w:sz="0" w:space="0" w:color="auto"/>
            <w:bottom w:val="none" w:sz="0" w:space="0" w:color="auto"/>
            <w:right w:val="none" w:sz="0" w:space="0" w:color="auto"/>
          </w:divBdr>
        </w:div>
        <w:div w:id="1638753488">
          <w:marLeft w:val="0"/>
          <w:marRight w:val="0"/>
          <w:marTop w:val="0"/>
          <w:marBottom w:val="0"/>
          <w:divBdr>
            <w:top w:val="none" w:sz="0" w:space="0" w:color="auto"/>
            <w:left w:val="none" w:sz="0" w:space="0" w:color="auto"/>
            <w:bottom w:val="none" w:sz="0" w:space="0" w:color="auto"/>
            <w:right w:val="none" w:sz="0" w:space="0" w:color="auto"/>
          </w:divBdr>
        </w:div>
      </w:divsChild>
    </w:div>
    <w:div w:id="1808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bank.com.tw/news/RedirectLaw.ashx?lsid=FL021824&amp;ldate=20230926&amp;lno=23" TargetMode="External"/><Relationship Id="rId3" Type="http://schemas.openxmlformats.org/officeDocument/2006/relationships/webSettings" Target="webSettings.xml"/><Relationship Id="rId7" Type="http://schemas.openxmlformats.org/officeDocument/2006/relationships/hyperlink" Target="https://www.lawbank.com.tw/news/RedirectLaw.ashx?lsid=FL021824&amp;ldate=20230926&amp;lno=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bank.com.tw/news/RedirectLaw.ashx?lsid=FL021824&amp;ldate=20230926&amp;lno=13" TargetMode="External"/><Relationship Id="rId5" Type="http://schemas.openxmlformats.org/officeDocument/2006/relationships/hyperlink" Target="https://www.lawbank.com.tw/news/RedirectLaw.ashx?lsid=FL021824&amp;ldate=20230926&amp;lno=12" TargetMode="External"/><Relationship Id="rId10" Type="http://schemas.openxmlformats.org/officeDocument/2006/relationships/theme" Target="theme/theme1.xml"/><Relationship Id="rId4" Type="http://schemas.openxmlformats.org/officeDocument/2006/relationships/hyperlink" Target="https://www.lawbank.com.tw/news/RedirectLaw.ashx?lsid=FL021824&amp;ldate=20230926&amp;lno=2"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戴松萍</dc:creator>
  <cp:keywords/>
  <dc:description/>
  <cp:lastModifiedBy>戴松萍</cp:lastModifiedBy>
  <cp:revision>4</cp:revision>
  <cp:lastPrinted>2023-07-03T08:44:00Z</cp:lastPrinted>
  <dcterms:created xsi:type="dcterms:W3CDTF">2023-09-27T02:57:00Z</dcterms:created>
  <dcterms:modified xsi:type="dcterms:W3CDTF">2023-09-27T06:06:00Z</dcterms:modified>
</cp:coreProperties>
</file>