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67" w:type="pct"/>
        <w:tblBorders>
          <w:top w:val="outset" w:sz="6" w:space="0" w:color="CCCCCC"/>
          <w:left w:val="outset" w:sz="6" w:space="0" w:color="CCCCCC"/>
          <w:bottom w:val="outset" w:sz="6" w:space="0" w:color="CCCCCC"/>
          <w:right w:val="outset" w:sz="6" w:space="0" w:color="CCCCCC"/>
        </w:tblBorders>
        <w:shd w:val="clear" w:color="auto" w:fill="FFFFFF"/>
        <w:tblCellMar>
          <w:top w:w="60" w:type="dxa"/>
          <w:left w:w="60" w:type="dxa"/>
          <w:bottom w:w="60" w:type="dxa"/>
          <w:right w:w="60" w:type="dxa"/>
        </w:tblCellMar>
        <w:tblLook w:val="04A0"/>
      </w:tblPr>
      <w:tblGrid>
        <w:gridCol w:w="5141"/>
        <w:gridCol w:w="2443"/>
        <w:gridCol w:w="1123"/>
      </w:tblGrid>
      <w:tr w:rsidR="00C1567E" w:rsidRPr="00C1567E" w:rsidTr="00C1567E">
        <w:tc>
          <w:tcPr>
            <w:tcW w:w="2951" w:type="pct"/>
            <w:tcBorders>
              <w:top w:val="outset" w:sz="6" w:space="0" w:color="666666"/>
              <w:left w:val="outset" w:sz="6" w:space="0" w:color="666666"/>
              <w:bottom w:val="outset" w:sz="6" w:space="0" w:color="666666"/>
              <w:right w:val="outset" w:sz="6" w:space="0" w:color="666666"/>
            </w:tcBorders>
            <w:shd w:val="clear" w:color="auto" w:fill="99CCD2"/>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b/>
                <w:bCs/>
                <w:color w:val="343434"/>
                <w:spacing w:val="15"/>
                <w:kern w:val="0"/>
                <w:sz w:val="20"/>
                <w:szCs w:val="20"/>
              </w:rPr>
            </w:pPr>
            <w:r w:rsidRPr="00C1567E">
              <w:rPr>
                <w:rFonts w:ascii="Arial, Helvetica, sans-serif" w:eastAsia="新細明體" w:hAnsi="Arial, Helvetica, sans-serif" w:cs="Arial"/>
                <w:b/>
                <w:bCs/>
                <w:color w:val="343434"/>
                <w:spacing w:val="15"/>
                <w:kern w:val="0"/>
                <w:sz w:val="20"/>
                <w:szCs w:val="20"/>
              </w:rPr>
              <w:t>申請案件類型</w:t>
            </w:r>
          </w:p>
        </w:tc>
        <w:tc>
          <w:tcPr>
            <w:tcW w:w="1403" w:type="pct"/>
            <w:tcBorders>
              <w:top w:val="outset" w:sz="6" w:space="0" w:color="666666"/>
              <w:left w:val="outset" w:sz="6" w:space="0" w:color="666666"/>
              <w:bottom w:val="outset" w:sz="6" w:space="0" w:color="666666"/>
              <w:right w:val="outset" w:sz="6" w:space="0" w:color="666666"/>
            </w:tcBorders>
            <w:shd w:val="clear" w:color="auto" w:fill="99CCD2"/>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b/>
                <w:bCs/>
                <w:color w:val="343434"/>
                <w:spacing w:val="15"/>
                <w:kern w:val="0"/>
                <w:sz w:val="20"/>
                <w:szCs w:val="20"/>
              </w:rPr>
            </w:pPr>
            <w:r w:rsidRPr="00C1567E">
              <w:rPr>
                <w:rFonts w:ascii="Arial, Helvetica, sans-serif" w:eastAsia="新細明體" w:hAnsi="Arial, Helvetica, sans-serif" w:cs="Arial"/>
                <w:b/>
                <w:bCs/>
                <w:color w:val="343434"/>
                <w:spacing w:val="15"/>
                <w:kern w:val="0"/>
                <w:sz w:val="20"/>
                <w:szCs w:val="20"/>
              </w:rPr>
              <w:t>申請之法源依據</w:t>
            </w:r>
          </w:p>
        </w:tc>
        <w:tc>
          <w:tcPr>
            <w:tcW w:w="645" w:type="pct"/>
            <w:tcBorders>
              <w:top w:val="outset" w:sz="6" w:space="0" w:color="666666"/>
              <w:left w:val="outset" w:sz="6" w:space="0" w:color="666666"/>
              <w:bottom w:val="outset" w:sz="6" w:space="0" w:color="666666"/>
              <w:right w:val="outset" w:sz="6" w:space="0" w:color="666666"/>
            </w:tcBorders>
            <w:shd w:val="clear" w:color="auto" w:fill="99CCD2"/>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b/>
                <w:bCs/>
                <w:color w:val="343434"/>
                <w:spacing w:val="15"/>
                <w:kern w:val="0"/>
                <w:sz w:val="20"/>
                <w:szCs w:val="20"/>
              </w:rPr>
            </w:pPr>
            <w:r w:rsidRPr="00C1567E">
              <w:rPr>
                <w:rFonts w:ascii="Arial, Helvetica, sans-serif" w:eastAsia="新細明體" w:hAnsi="Arial, Helvetica, sans-serif" w:cs="Arial"/>
                <w:b/>
                <w:bCs/>
                <w:color w:val="343434"/>
                <w:spacing w:val="15"/>
                <w:kern w:val="0"/>
                <w:sz w:val="20"/>
                <w:szCs w:val="20"/>
              </w:rPr>
              <w:t>處理期限</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土地所有權第一次登記核定公告</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建物所有權第一次登記核定公告</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土地建物所有權第一次登記公告期滿無異議或有異議經調處成立登記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土地建物所有權第一次登記公告期間有異議之調處</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proofErr w:type="gramStart"/>
            <w:r w:rsidRPr="00C1567E">
              <w:rPr>
                <w:rFonts w:ascii="Arial, Helvetica, sans-serif" w:eastAsia="新細明體" w:hAnsi="Arial, Helvetica, sans-serif" w:cs="Arial"/>
                <w:color w:val="343434"/>
                <w:spacing w:val="15"/>
                <w:kern w:val="0"/>
                <w:sz w:val="20"/>
                <w:szCs w:val="20"/>
              </w:rPr>
              <w:t>三</w:t>
            </w:r>
            <w:proofErr w:type="gramEnd"/>
            <w:r w:rsidRPr="00C1567E">
              <w:rPr>
                <w:rFonts w:ascii="Arial, Helvetica, sans-serif" w:eastAsia="新細明體" w:hAnsi="Arial, Helvetica, sans-serif" w:cs="Arial"/>
                <w:color w:val="343434"/>
                <w:spacing w:val="15"/>
                <w:kern w:val="0"/>
                <w:sz w:val="20"/>
                <w:szCs w:val="20"/>
              </w:rPr>
              <w:t>十日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土地建物所有權因繼承之變更登記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繼承登記、土地登記規則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五日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土地建物所有權因判決確定或訴訟上和解、調處成立之變更登記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四日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土地建物所有權因買賣、贈與、交換登記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四日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w:eastAsia="新細明體" w:hAnsi="Arial" w:cs="Arial"/>
                <w:color w:val="343434"/>
                <w:spacing w:val="15"/>
                <w:kern w:val="0"/>
                <w:sz w:val="20"/>
                <w:szCs w:val="20"/>
              </w:rPr>
              <w:t>土地建物所有權因共有物分割或經法院判決確定，訴訟和解調解成立之變更登記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五日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土地建物所有權因法院拍賣之變更登記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公有土地放</w:t>
            </w:r>
            <w:proofErr w:type="gramStart"/>
            <w:r w:rsidRPr="00C1567E">
              <w:rPr>
                <w:rFonts w:ascii="Arial, Helvetica, sans-serif" w:eastAsia="新細明體" w:hAnsi="Arial, Helvetica, sans-serif" w:cs="Arial"/>
                <w:color w:val="343434"/>
                <w:spacing w:val="15"/>
                <w:kern w:val="0"/>
                <w:sz w:val="20"/>
                <w:szCs w:val="20"/>
              </w:rPr>
              <w:t>領地價繳清</w:t>
            </w:r>
            <w:proofErr w:type="gramEnd"/>
            <w:r w:rsidRPr="00C1567E">
              <w:rPr>
                <w:rFonts w:ascii="Arial, Helvetica, sans-serif" w:eastAsia="新細明體" w:hAnsi="Arial, Helvetica, sans-serif" w:cs="Arial"/>
                <w:color w:val="343434"/>
                <w:spacing w:val="15"/>
                <w:kern w:val="0"/>
                <w:sz w:val="20"/>
                <w:szCs w:val="20"/>
              </w:rPr>
              <w:t>所有權移轉登記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r w:rsidRPr="00C1567E">
              <w:rPr>
                <w:rFonts w:ascii="Arial, Helvetica, sans-serif" w:eastAsia="新細明體" w:hAnsi="Arial, Helvetica, sans-serif" w:cs="Arial"/>
                <w:color w:val="343434"/>
                <w:spacing w:val="15"/>
                <w:kern w:val="0"/>
                <w:sz w:val="20"/>
                <w:szCs w:val="20"/>
              </w:rPr>
              <w:t xml:space="preserve">  </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因法定時效完成取得土地所有權公告期滿無異議或有異議經調處成立之登記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因法定時效完成取得土地所有權之核定公告</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四日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土地建物所有權消滅登記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他項權利設定登記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w:eastAsia="新細明體" w:hAnsi="Arial" w:cs="Arial"/>
                <w:color w:val="343434"/>
                <w:spacing w:val="15"/>
                <w:kern w:val="0"/>
                <w:sz w:val="20"/>
                <w:szCs w:val="20"/>
              </w:rPr>
              <w:t>他項權利塗銷登記</w:t>
            </w:r>
            <w:r w:rsidRPr="00C1567E">
              <w:rPr>
                <w:rFonts w:ascii="Arial" w:eastAsia="新細明體" w:hAnsi="Arial" w:cs="Arial"/>
                <w:color w:val="343434"/>
                <w:spacing w:val="15"/>
                <w:kern w:val="0"/>
                <w:sz w:val="20"/>
                <w:szCs w:val="20"/>
              </w:rPr>
              <w:t>(</w:t>
            </w:r>
            <w:r w:rsidRPr="00C1567E">
              <w:rPr>
                <w:rFonts w:ascii="Arial" w:eastAsia="新細明體" w:hAnsi="Arial" w:cs="Arial"/>
                <w:color w:val="343434"/>
                <w:spacing w:val="15"/>
                <w:kern w:val="0"/>
                <w:sz w:val="20"/>
                <w:szCs w:val="20"/>
              </w:rPr>
              <w:t>抵押權除外</w:t>
            </w:r>
            <w:r w:rsidRPr="00C1567E">
              <w:rPr>
                <w:rFonts w:ascii="Arial" w:eastAsia="新細明體" w:hAnsi="Arial" w:cs="Arial"/>
                <w:color w:val="343434"/>
                <w:spacing w:val="15"/>
                <w:kern w:val="0"/>
                <w:sz w:val="20"/>
                <w:szCs w:val="20"/>
              </w:rPr>
              <w:t>)</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一日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proofErr w:type="gramStart"/>
            <w:r w:rsidRPr="00C1567E">
              <w:rPr>
                <w:rFonts w:ascii="Arial" w:eastAsia="新細明體" w:hAnsi="Arial" w:cs="Arial"/>
                <w:color w:val="343434"/>
                <w:spacing w:val="15"/>
                <w:kern w:val="0"/>
                <w:sz w:val="20"/>
                <w:szCs w:val="20"/>
              </w:rPr>
              <w:t>抵押權塗銷</w:t>
            </w:r>
            <w:proofErr w:type="gramEnd"/>
            <w:r w:rsidRPr="00C1567E">
              <w:rPr>
                <w:rFonts w:ascii="Arial" w:eastAsia="新細明體" w:hAnsi="Arial" w:cs="Arial"/>
                <w:color w:val="343434"/>
                <w:spacing w:val="15"/>
                <w:kern w:val="0"/>
                <w:sz w:val="20"/>
                <w:szCs w:val="20"/>
              </w:rPr>
              <w:t>登記</w:t>
            </w:r>
            <w:r w:rsidRPr="00C1567E">
              <w:rPr>
                <w:rFonts w:ascii="Arial" w:eastAsia="新細明體" w:hAnsi="Arial" w:cs="Arial"/>
                <w:color w:val="343434"/>
                <w:spacing w:val="15"/>
                <w:kern w:val="0"/>
                <w:sz w:val="20"/>
                <w:szCs w:val="20"/>
              </w:rPr>
              <w:t>(</w:t>
            </w:r>
            <w:r w:rsidRPr="00C1567E">
              <w:rPr>
                <w:rFonts w:ascii="Arial" w:eastAsia="新細明體" w:hAnsi="Arial" w:cs="Arial"/>
                <w:color w:val="343434"/>
                <w:spacing w:val="15"/>
                <w:kern w:val="0"/>
                <w:sz w:val="20"/>
                <w:szCs w:val="20"/>
              </w:rPr>
              <w:t>權利人為自然人或私法人</w:t>
            </w:r>
            <w:r w:rsidRPr="00C1567E">
              <w:rPr>
                <w:rFonts w:ascii="Arial" w:eastAsia="新細明體" w:hAnsi="Arial" w:cs="Arial"/>
                <w:color w:val="343434"/>
                <w:spacing w:val="15"/>
                <w:kern w:val="0"/>
                <w:sz w:val="20"/>
                <w:szCs w:val="20"/>
              </w:rPr>
              <w:t>)</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一日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他項權利變更登記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因法定時效完成取得他項權利之核定公告</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民法、土地登記規則第五條</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四日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因法定時效完成取得他項權利公告期滿無異議或有異議經調處成立之登記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民法、土地登記規則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lastRenderedPageBreak/>
              <w:t>土地、建物預告登記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更正登記之報核</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六日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土地建物更正登記及其他登記案報准之登記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依規定授權</w:t>
            </w:r>
            <w:proofErr w:type="gramStart"/>
            <w:r w:rsidRPr="00C1567E">
              <w:rPr>
                <w:rFonts w:ascii="Arial, Helvetica, sans-serif" w:eastAsia="新細明體" w:hAnsi="Arial, Helvetica, sans-serif" w:cs="Arial"/>
                <w:color w:val="343434"/>
                <w:spacing w:val="15"/>
                <w:kern w:val="0"/>
                <w:sz w:val="20"/>
                <w:szCs w:val="20"/>
              </w:rPr>
              <w:t>逕</w:t>
            </w:r>
            <w:proofErr w:type="gramEnd"/>
            <w:r w:rsidRPr="00C1567E">
              <w:rPr>
                <w:rFonts w:ascii="Arial, Helvetica, sans-serif" w:eastAsia="新細明體" w:hAnsi="Arial, Helvetica, sans-serif" w:cs="Arial"/>
                <w:color w:val="343434"/>
                <w:spacing w:val="15"/>
                <w:kern w:val="0"/>
                <w:sz w:val="20"/>
                <w:szCs w:val="20"/>
              </w:rPr>
              <w:t>為更正之登記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土地回復所有權之登記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五日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土地、建物標示變更登記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土地建物權利人之管理人、代表人變更之登記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土地、建物各項權利書狀之補發核公告</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土地、建物各項權利書狀公告期滿之登記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一日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土地建物登記案件之駁回（逾期未補正之登記案件）</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剩餘財產差額分配登記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民法、土地登記規則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五日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信託登記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四日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受託人變更登記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w:eastAsia="新細明體" w:hAnsi="Arial" w:cs="Arial"/>
                <w:color w:val="343434"/>
                <w:spacing w:val="15"/>
                <w:kern w:val="0"/>
                <w:sz w:val="20"/>
                <w:szCs w:val="20"/>
              </w:rPr>
              <w:t>信託歸屬、信託</w:t>
            </w:r>
            <w:proofErr w:type="gramStart"/>
            <w:r w:rsidRPr="00C1567E">
              <w:rPr>
                <w:rFonts w:ascii="Arial" w:eastAsia="新細明體" w:hAnsi="Arial" w:cs="Arial"/>
                <w:color w:val="343434"/>
                <w:spacing w:val="15"/>
                <w:kern w:val="0"/>
                <w:sz w:val="20"/>
                <w:szCs w:val="20"/>
              </w:rPr>
              <w:t>取得及塗銷</w:t>
            </w:r>
            <w:proofErr w:type="gramEnd"/>
            <w:r w:rsidRPr="00C1567E">
              <w:rPr>
                <w:rFonts w:ascii="Arial" w:eastAsia="新細明體" w:hAnsi="Arial" w:cs="Arial"/>
                <w:color w:val="343434"/>
                <w:spacing w:val="15"/>
                <w:kern w:val="0"/>
                <w:sz w:val="20"/>
                <w:szCs w:val="20"/>
              </w:rPr>
              <w:t>信託登記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四日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w:eastAsia="新細明體" w:hAnsi="Arial" w:cs="Arial"/>
                <w:color w:val="343434"/>
                <w:spacing w:val="15"/>
                <w:kern w:val="0"/>
                <w:sz w:val="20"/>
                <w:szCs w:val="20"/>
              </w:rPr>
              <w:t>遺產管理人、遺產清理人登記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三日</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w:eastAsia="新細明體" w:hAnsi="Arial" w:cs="Arial"/>
                <w:color w:val="343434"/>
                <w:spacing w:val="15"/>
                <w:kern w:val="0"/>
                <w:sz w:val="20"/>
                <w:szCs w:val="20"/>
              </w:rPr>
              <w:t>地籍謄本核發</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隨到隨辦</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w:eastAsia="新細明體" w:hAnsi="Arial" w:cs="Arial"/>
                <w:color w:val="343434"/>
                <w:spacing w:val="15"/>
                <w:kern w:val="0"/>
                <w:sz w:val="20"/>
                <w:szCs w:val="20"/>
              </w:rPr>
              <w:t>土地建物權利人住所變更登記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二小時</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w:eastAsia="新細明體" w:hAnsi="Arial" w:cs="Arial"/>
                <w:color w:val="343434"/>
                <w:spacing w:val="15"/>
                <w:kern w:val="0"/>
                <w:sz w:val="20"/>
                <w:szCs w:val="20"/>
              </w:rPr>
              <w:t>土地建物權利人更名登記</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二小時</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w:eastAsia="新細明體" w:hAnsi="Arial" w:cs="Arial"/>
                <w:color w:val="343434"/>
                <w:spacing w:val="15"/>
                <w:kern w:val="0"/>
                <w:sz w:val="20"/>
                <w:szCs w:val="20"/>
              </w:rPr>
              <w:t>更正登記</w:t>
            </w:r>
            <w:r w:rsidRPr="00C1567E">
              <w:rPr>
                <w:rFonts w:ascii="Arial" w:eastAsia="新細明體" w:hAnsi="Arial" w:cs="Arial"/>
                <w:color w:val="343434"/>
                <w:spacing w:val="15"/>
                <w:kern w:val="0"/>
                <w:sz w:val="20"/>
                <w:szCs w:val="20"/>
              </w:rPr>
              <w:t>(</w:t>
            </w:r>
            <w:r w:rsidRPr="00C1567E">
              <w:rPr>
                <w:rFonts w:ascii="Arial" w:eastAsia="新細明體" w:hAnsi="Arial" w:cs="Arial"/>
                <w:color w:val="343434"/>
                <w:spacing w:val="15"/>
                <w:kern w:val="0"/>
                <w:sz w:val="20"/>
                <w:szCs w:val="20"/>
              </w:rPr>
              <w:t>限戶籍資料記載姓名、出生日期、身分證統一編號及地址等錯誤，經戶政機關更正有案者</w:t>
            </w:r>
            <w:r w:rsidRPr="00C1567E">
              <w:rPr>
                <w:rFonts w:ascii="Arial" w:eastAsia="新細明體" w:hAnsi="Arial" w:cs="Arial"/>
                <w:color w:val="343434"/>
                <w:spacing w:val="15"/>
                <w:kern w:val="0"/>
                <w:sz w:val="20"/>
                <w:szCs w:val="20"/>
              </w:rPr>
              <w:t>)</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二小時</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r w:rsidRPr="00C1567E">
              <w:rPr>
                <w:rFonts w:ascii="Arial" w:eastAsia="新細明體" w:hAnsi="Arial" w:cs="Arial"/>
                <w:color w:val="343434"/>
                <w:spacing w:val="15"/>
                <w:kern w:val="0"/>
                <w:sz w:val="20"/>
                <w:szCs w:val="20"/>
              </w:rPr>
              <w:t>權利</w:t>
            </w:r>
            <w:proofErr w:type="gramStart"/>
            <w:r w:rsidRPr="00C1567E">
              <w:rPr>
                <w:rFonts w:ascii="Arial" w:eastAsia="新細明體" w:hAnsi="Arial" w:cs="Arial"/>
                <w:color w:val="343434"/>
                <w:spacing w:val="15"/>
                <w:kern w:val="0"/>
                <w:sz w:val="20"/>
                <w:szCs w:val="20"/>
              </w:rPr>
              <w:t>書狀換發</w:t>
            </w:r>
            <w:proofErr w:type="gramEnd"/>
            <w:r w:rsidRPr="00C1567E">
              <w:rPr>
                <w:rFonts w:ascii="Arial" w:eastAsia="新細明體" w:hAnsi="Arial" w:cs="Arial"/>
                <w:color w:val="343434"/>
                <w:spacing w:val="15"/>
                <w:kern w:val="0"/>
                <w:sz w:val="20"/>
                <w:szCs w:val="20"/>
              </w:rPr>
              <w:t>登記</w:t>
            </w:r>
            <w:r w:rsidRPr="00C1567E">
              <w:rPr>
                <w:rFonts w:ascii="Arial" w:eastAsia="新細明體" w:hAnsi="Arial" w:cs="Arial"/>
                <w:color w:val="343434"/>
                <w:spacing w:val="15"/>
                <w:kern w:val="0"/>
                <w:sz w:val="20"/>
                <w:szCs w:val="20"/>
              </w:rPr>
              <w:t>(</w:t>
            </w:r>
            <w:r w:rsidRPr="00C1567E">
              <w:rPr>
                <w:rFonts w:ascii="Arial" w:eastAsia="新細明體" w:hAnsi="Arial" w:cs="Arial"/>
                <w:color w:val="343434"/>
                <w:spacing w:val="15"/>
                <w:kern w:val="0"/>
                <w:sz w:val="20"/>
                <w:szCs w:val="20"/>
              </w:rPr>
              <w:t>限有統一編號者</w:t>
            </w:r>
            <w:r w:rsidRPr="00C1567E">
              <w:rPr>
                <w:rFonts w:ascii="Arial" w:eastAsia="新細明體" w:hAnsi="Arial" w:cs="Arial"/>
                <w:color w:val="343434"/>
                <w:spacing w:val="15"/>
                <w:kern w:val="0"/>
                <w:sz w:val="20"/>
                <w:szCs w:val="20"/>
              </w:rPr>
              <w:t>)</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土地法、土地登記規則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二小時</w:t>
            </w:r>
          </w:p>
        </w:tc>
      </w:tr>
      <w:tr w:rsidR="00C1567E" w:rsidRPr="00C1567E" w:rsidTr="00C1567E">
        <w:tc>
          <w:tcPr>
            <w:tcW w:w="0" w:type="auto"/>
            <w:tcBorders>
              <w:top w:val="outset" w:sz="6" w:space="0" w:color="666666"/>
              <w:left w:val="outset" w:sz="6" w:space="0" w:color="666666"/>
              <w:bottom w:val="outset" w:sz="6" w:space="0" w:color="666666"/>
              <w:right w:val="outset" w:sz="6" w:space="0" w:color="666666"/>
            </w:tcBorders>
            <w:shd w:val="clear" w:color="auto" w:fill="BFE0E3"/>
            <w:vAlign w:val="center"/>
            <w:hideMark/>
          </w:tcPr>
          <w:p w:rsidR="00C1567E" w:rsidRPr="00C1567E" w:rsidRDefault="00C1567E" w:rsidP="00C1567E">
            <w:pPr>
              <w:widowControl/>
              <w:spacing w:line="285" w:lineRule="atLeast"/>
              <w:rPr>
                <w:rFonts w:ascii="Arial, Helvetica, sans-serif" w:eastAsia="新細明體" w:hAnsi="Arial, Helvetica, sans-serif" w:cs="Arial"/>
                <w:color w:val="343434"/>
                <w:spacing w:val="15"/>
                <w:kern w:val="0"/>
                <w:sz w:val="20"/>
                <w:szCs w:val="20"/>
              </w:rPr>
            </w:pPr>
            <w:proofErr w:type="gramStart"/>
            <w:r w:rsidRPr="00C1567E">
              <w:rPr>
                <w:rFonts w:ascii="Arial" w:eastAsia="新細明體" w:hAnsi="Arial" w:cs="Arial"/>
                <w:color w:val="343434"/>
                <w:spacing w:val="15"/>
                <w:kern w:val="0"/>
                <w:sz w:val="20"/>
                <w:szCs w:val="20"/>
              </w:rPr>
              <w:t>抵押權塗銷</w:t>
            </w:r>
            <w:proofErr w:type="gramEnd"/>
            <w:r w:rsidRPr="00C1567E">
              <w:rPr>
                <w:rFonts w:ascii="Arial" w:eastAsia="新細明體" w:hAnsi="Arial" w:cs="Arial"/>
                <w:color w:val="343434"/>
                <w:spacing w:val="15"/>
                <w:kern w:val="0"/>
                <w:sz w:val="20"/>
                <w:szCs w:val="20"/>
              </w:rPr>
              <w:t>登記</w:t>
            </w:r>
            <w:r w:rsidRPr="00C1567E">
              <w:rPr>
                <w:rFonts w:ascii="Arial" w:eastAsia="新細明體" w:hAnsi="Arial" w:cs="Arial"/>
                <w:color w:val="343434"/>
                <w:spacing w:val="15"/>
                <w:kern w:val="0"/>
                <w:sz w:val="20"/>
                <w:szCs w:val="20"/>
              </w:rPr>
              <w:t>(</w:t>
            </w:r>
            <w:r w:rsidRPr="00C1567E">
              <w:rPr>
                <w:rFonts w:ascii="Arial" w:eastAsia="新細明體" w:hAnsi="Arial" w:cs="Arial"/>
                <w:color w:val="343434"/>
                <w:spacing w:val="15"/>
                <w:kern w:val="0"/>
                <w:sz w:val="20"/>
                <w:szCs w:val="20"/>
              </w:rPr>
              <w:t>權利人為金融機構者</w:t>
            </w:r>
            <w:r w:rsidRPr="00C1567E">
              <w:rPr>
                <w:rFonts w:ascii="Arial" w:eastAsia="新細明體" w:hAnsi="Arial" w:cs="Arial"/>
                <w:color w:val="343434"/>
                <w:spacing w:val="15"/>
                <w:kern w:val="0"/>
                <w:sz w:val="20"/>
                <w:szCs w:val="20"/>
              </w:rPr>
              <w:t>)</w:t>
            </w:r>
          </w:p>
        </w:tc>
        <w:tc>
          <w:tcPr>
            <w:tcW w:w="0" w:type="auto"/>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土地登記規則</w:t>
            </w:r>
          </w:p>
        </w:tc>
        <w:tc>
          <w:tcPr>
            <w:tcW w:w="645" w:type="pct"/>
            <w:tcBorders>
              <w:top w:val="outset" w:sz="6" w:space="0" w:color="666666"/>
              <w:left w:val="outset" w:sz="6" w:space="0" w:color="666666"/>
              <w:bottom w:val="outset" w:sz="6" w:space="0" w:color="666666"/>
              <w:right w:val="outset" w:sz="6" w:space="0" w:color="666666"/>
            </w:tcBorders>
            <w:shd w:val="clear" w:color="auto" w:fill="EEEEEE"/>
            <w:vAlign w:val="center"/>
            <w:hideMark/>
          </w:tcPr>
          <w:p w:rsidR="00C1567E" w:rsidRPr="00C1567E" w:rsidRDefault="00C1567E" w:rsidP="00C1567E">
            <w:pPr>
              <w:widowControl/>
              <w:spacing w:line="285" w:lineRule="atLeast"/>
              <w:jc w:val="center"/>
              <w:rPr>
                <w:rFonts w:ascii="Arial, Helvetica, sans-serif" w:eastAsia="新細明體" w:hAnsi="Arial, Helvetica, sans-serif" w:cs="Arial"/>
                <w:color w:val="343434"/>
                <w:spacing w:val="15"/>
                <w:kern w:val="0"/>
                <w:sz w:val="20"/>
                <w:szCs w:val="20"/>
              </w:rPr>
            </w:pPr>
            <w:r w:rsidRPr="00C1567E">
              <w:rPr>
                <w:rFonts w:ascii="Arial, Helvetica, sans-serif" w:eastAsia="新細明體" w:hAnsi="Arial, Helvetica, sans-serif" w:cs="Arial"/>
                <w:color w:val="343434"/>
                <w:spacing w:val="15"/>
                <w:kern w:val="0"/>
                <w:sz w:val="20"/>
                <w:szCs w:val="20"/>
              </w:rPr>
              <w:t>四小時</w:t>
            </w:r>
          </w:p>
        </w:tc>
      </w:tr>
    </w:tbl>
    <w:p w:rsidR="00D41C57" w:rsidRDefault="00D41C57" w:rsidP="007057D9">
      <w:pPr>
        <w:ind w:firstLine="1487"/>
        <w:rPr>
          <w:rFonts w:hint="eastAsia"/>
        </w:rPr>
      </w:pPr>
    </w:p>
    <w:sectPr w:rsidR="00D41C57" w:rsidSect="00C1567E">
      <w:headerReference w:type="even" r:id="rId6"/>
      <w:headerReference w:type="default" r:id="rId7"/>
      <w:footerReference w:type="even" r:id="rId8"/>
      <w:footerReference w:type="default" r:id="rId9"/>
      <w:headerReference w:type="first" r:id="rId10"/>
      <w:footerReference w:type="first" r:id="rId11"/>
      <w:pgSz w:w="11906" w:h="16838"/>
      <w:pgMar w:top="1985"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851" w:rsidRDefault="00AA4851" w:rsidP="00C1567E">
      <w:r>
        <w:separator/>
      </w:r>
    </w:p>
  </w:endnote>
  <w:endnote w:type="continuationSeparator" w:id="0">
    <w:p w:rsidR="00AA4851" w:rsidRDefault="00AA4851" w:rsidP="00C1567E">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Helvetica, sans-serif">
    <w:altName w:val="Times New Roman"/>
    <w:panose1 w:val="00000000000000000000"/>
    <w:charset w:val="00"/>
    <w:family w:val="roman"/>
    <w:notTrueType/>
    <w:pitch w:val="default"/>
    <w:sig w:usb0="00000000" w:usb1="00000000" w:usb2="00000000" w:usb3="00000000" w:csb0="0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7E" w:rsidRDefault="00C156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7E" w:rsidRDefault="00C1567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7E" w:rsidRDefault="00C156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851" w:rsidRDefault="00AA4851" w:rsidP="00C1567E">
      <w:r>
        <w:separator/>
      </w:r>
    </w:p>
  </w:footnote>
  <w:footnote w:type="continuationSeparator" w:id="0">
    <w:p w:rsidR="00AA4851" w:rsidRDefault="00AA4851" w:rsidP="00C15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7E" w:rsidRDefault="00C1567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7E" w:rsidRDefault="00C1567E">
    <w:pPr>
      <w:pStyle w:val="a3"/>
      <w:rPr>
        <w:rFonts w:hint="eastAsia"/>
      </w:rPr>
    </w:pPr>
  </w:p>
  <w:p w:rsidR="00C1567E" w:rsidRPr="00C1567E" w:rsidRDefault="00C1567E" w:rsidP="00C1567E">
    <w:pPr>
      <w:widowControl/>
      <w:jc w:val="center"/>
      <w:rPr>
        <w:rFonts w:ascii="Arial" w:eastAsia="新細明體" w:hAnsi="Arial" w:cs="Arial"/>
        <w:color w:val="645046"/>
        <w:kern w:val="0"/>
      </w:rPr>
    </w:pPr>
    <w:r>
      <w:rPr>
        <w:rFonts w:ascii="Arial" w:eastAsia="新細明體" w:hAnsi="Arial" w:cs="Arial" w:hint="eastAsia"/>
        <w:color w:val="645046"/>
        <w:kern w:val="0"/>
      </w:rPr>
      <w:t>苗栗縣竹南地政事務所</w:t>
    </w:r>
    <w:r w:rsidRPr="00C1567E">
      <w:rPr>
        <w:rFonts w:ascii="Arial" w:eastAsia="新細明體" w:hAnsi="Arial" w:cs="Arial"/>
        <w:color w:val="645046"/>
        <w:kern w:val="0"/>
      </w:rPr>
      <w:t>登記案件處理期限</w:t>
    </w:r>
  </w:p>
  <w:p w:rsidR="00C1567E" w:rsidRPr="00C1567E" w:rsidRDefault="00C1567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67E" w:rsidRDefault="00C1567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567E"/>
    <w:rsid w:val="000B4569"/>
    <w:rsid w:val="001704AE"/>
    <w:rsid w:val="007057D9"/>
    <w:rsid w:val="007116F8"/>
    <w:rsid w:val="00960704"/>
    <w:rsid w:val="0096108A"/>
    <w:rsid w:val="00973351"/>
    <w:rsid w:val="00A11801"/>
    <w:rsid w:val="00AA4851"/>
    <w:rsid w:val="00B372E9"/>
    <w:rsid w:val="00C1567E"/>
    <w:rsid w:val="00D41C5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C5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567E"/>
    <w:pPr>
      <w:tabs>
        <w:tab w:val="center" w:pos="4153"/>
        <w:tab w:val="right" w:pos="8306"/>
      </w:tabs>
      <w:snapToGrid w:val="0"/>
    </w:pPr>
    <w:rPr>
      <w:sz w:val="20"/>
      <w:szCs w:val="20"/>
    </w:rPr>
  </w:style>
  <w:style w:type="character" w:customStyle="1" w:styleId="a4">
    <w:name w:val="頁首 字元"/>
    <w:basedOn w:val="a0"/>
    <w:link w:val="a3"/>
    <w:uiPriority w:val="99"/>
    <w:semiHidden/>
    <w:rsid w:val="00C1567E"/>
    <w:rPr>
      <w:sz w:val="20"/>
      <w:szCs w:val="20"/>
    </w:rPr>
  </w:style>
  <w:style w:type="paragraph" w:styleId="a5">
    <w:name w:val="footer"/>
    <w:basedOn w:val="a"/>
    <w:link w:val="a6"/>
    <w:uiPriority w:val="99"/>
    <w:semiHidden/>
    <w:unhideWhenUsed/>
    <w:rsid w:val="00C1567E"/>
    <w:pPr>
      <w:tabs>
        <w:tab w:val="center" w:pos="4153"/>
        <w:tab w:val="right" w:pos="8306"/>
      </w:tabs>
      <w:snapToGrid w:val="0"/>
    </w:pPr>
    <w:rPr>
      <w:sz w:val="20"/>
      <w:szCs w:val="20"/>
    </w:rPr>
  </w:style>
  <w:style w:type="character" w:customStyle="1" w:styleId="a6">
    <w:name w:val="頁尾 字元"/>
    <w:basedOn w:val="a0"/>
    <w:link w:val="a5"/>
    <w:uiPriority w:val="99"/>
    <w:semiHidden/>
    <w:rsid w:val="00C1567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2014-11-27T08:51:00Z</dcterms:created>
  <dcterms:modified xsi:type="dcterms:W3CDTF">2014-11-27T08:53:00Z</dcterms:modified>
</cp:coreProperties>
</file>