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2F" w:rsidRDefault="005F4B2F" w:rsidP="005F4B2F">
      <w:pPr>
        <w:pStyle w:val="Web"/>
        <w:spacing w:line="601" w:lineRule="atLeast"/>
        <w:ind w:right="-471" w:hanging="1077"/>
        <w:jc w:val="center"/>
        <w:rPr>
          <w:rFonts w:ascii="標楷體" w:eastAsia="標楷體" w:hAnsi="標楷體"/>
          <w:b/>
          <w:bCs/>
          <w:color w:val="000000"/>
          <w:sz w:val="50"/>
          <w:szCs w:val="50"/>
        </w:rPr>
      </w:pPr>
      <w:bookmarkStart w:id="0" w:name="_GoBack"/>
      <w:r>
        <w:rPr>
          <w:rFonts w:ascii="標楷體" w:eastAsia="標楷體" w:hAnsi="標楷體" w:hint="eastAsia"/>
          <w:b/>
          <w:bCs/>
          <w:color w:val="000000"/>
          <w:sz w:val="50"/>
          <w:szCs w:val="50"/>
        </w:rPr>
        <w:t>預防及延緩失能照護服務方案品質指標</w:t>
      </w:r>
      <w:bookmarkEnd w:id="0"/>
    </w:p>
    <w:p w:rsidR="0069408F" w:rsidRPr="0069408F" w:rsidRDefault="0069408F" w:rsidP="0069408F">
      <w:pPr>
        <w:pStyle w:val="Web"/>
        <w:spacing w:line="601" w:lineRule="atLeast"/>
        <w:ind w:right="-471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50"/>
          <w:szCs w:val="50"/>
        </w:rPr>
        <w:t xml:space="preserve">  </w:t>
      </w:r>
      <w:r w:rsidRPr="0069408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單位名稱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：</w:t>
      </w:r>
      <w:r w:rsidRPr="0069408F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 xml:space="preserve">　　　　　　　　　　　</w:t>
      </w:r>
      <w:r w:rsidR="002B122C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 xml:space="preserve">　　</w:t>
      </w:r>
    </w:p>
    <w:p w:rsidR="0069408F" w:rsidRPr="0069408F" w:rsidRDefault="005F4B2F" w:rsidP="0069408F">
      <w:pPr>
        <w:pStyle w:val="Web"/>
        <w:numPr>
          <w:ilvl w:val="0"/>
          <w:numId w:val="2"/>
        </w:numPr>
        <w:spacing w:before="181" w:beforeAutospacing="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基本資料</w:t>
      </w:r>
    </w:p>
    <w:tbl>
      <w:tblPr>
        <w:tblW w:w="10471" w:type="dxa"/>
        <w:tblCellSpacing w:w="0" w:type="dxa"/>
        <w:tblInd w:w="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1"/>
        <w:gridCol w:w="9500"/>
      </w:tblGrid>
      <w:tr w:rsidR="005F4B2F" w:rsidRPr="005F4B2F" w:rsidTr="005F4B2F">
        <w:trPr>
          <w:trHeight w:val="497"/>
          <w:tblCellSpacing w:w="0" w:type="dxa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B2F" w:rsidRPr="005F4B2F" w:rsidRDefault="005F4B2F" w:rsidP="005F4B2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題號</w:t>
            </w:r>
          </w:p>
        </w:tc>
        <w:tc>
          <w:tcPr>
            <w:tcW w:w="9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B2F" w:rsidRPr="005F4B2F" w:rsidRDefault="005F4B2F" w:rsidP="005F4B2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內容</w:t>
            </w:r>
          </w:p>
        </w:tc>
      </w:tr>
      <w:tr w:rsidR="005F4B2F" w:rsidRPr="005F4B2F" w:rsidTr="005F4B2F">
        <w:trPr>
          <w:trHeight w:val="1868"/>
          <w:tblCellSpacing w:w="0" w:type="dxa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B2F" w:rsidRPr="005F4B2F" w:rsidRDefault="005F4B2F" w:rsidP="005F4B2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B2F" w:rsidRDefault="005F4B2F" w:rsidP="005F4B2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方案適用對象（可複選） </w:t>
            </w:r>
          </w:p>
          <w:p w:rsidR="005F4B2F" w:rsidRPr="005F4B2F" w:rsidRDefault="005F4B2F" w:rsidP="005F4B2F">
            <w:pPr>
              <w:widowControl/>
              <w:snapToGrid w:val="0"/>
              <w:spacing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5F4B2F" w:rsidRDefault="005F4B2F" w:rsidP="005F4B2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F4B2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□</w:t>
            </w: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健康長者 □衰弱長者 □輕度失能 </w:t>
            </w:r>
          </w:p>
          <w:p w:rsidR="005F4B2F" w:rsidRPr="005F4B2F" w:rsidRDefault="005F4B2F" w:rsidP="005F4B2F">
            <w:pPr>
              <w:widowControl/>
              <w:snapToGrid w:val="0"/>
              <w:spacing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5F4B2F" w:rsidRPr="005F4B2F" w:rsidRDefault="005F4B2F" w:rsidP="005F4B2F">
            <w:pPr>
              <w:widowControl/>
              <w:snapToGrid w:val="0"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□</w:t>
            </w: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中度失能 □輕度失智 □中度失智 □其他</w:t>
            </w:r>
          </w:p>
          <w:p w:rsidR="005F4B2F" w:rsidRPr="005F4B2F" w:rsidRDefault="005F4B2F" w:rsidP="005F4B2F">
            <w:pPr>
              <w:widowControl/>
              <w:snapToGrid w:val="0"/>
              <w:spacing w:before="100" w:beforeAutospacing="1"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＊</w:t>
            </w:r>
            <w:proofErr w:type="gramEnd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說明：請選擇方案設計的主要對象</w:t>
            </w:r>
          </w:p>
        </w:tc>
      </w:tr>
      <w:tr w:rsidR="005F4B2F" w:rsidRPr="005F4B2F" w:rsidTr="005F4B2F">
        <w:trPr>
          <w:trHeight w:val="2172"/>
          <w:tblCellSpacing w:w="0" w:type="dxa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B2F" w:rsidRPr="005F4B2F" w:rsidRDefault="005F4B2F" w:rsidP="005F4B2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B2F" w:rsidRDefault="005F4B2F" w:rsidP="005F4B2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方案類別（可複選）</w:t>
            </w:r>
          </w:p>
          <w:p w:rsidR="005F4B2F" w:rsidRPr="005F4B2F" w:rsidRDefault="005F4B2F" w:rsidP="005F4B2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F4B2F" w:rsidRDefault="005F4B2F" w:rsidP="005F4B2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□認知促進 □肌力強化 □營養管理</w:t>
            </w:r>
          </w:p>
          <w:p w:rsidR="005F4B2F" w:rsidRPr="005F4B2F" w:rsidRDefault="005F4B2F" w:rsidP="005F4B2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F4B2F" w:rsidRDefault="005F4B2F" w:rsidP="005F4B2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□生活功能 □社會參與 □口腔保健 </w:t>
            </w:r>
          </w:p>
          <w:p w:rsidR="005F4B2F" w:rsidRPr="005F4B2F" w:rsidRDefault="005F4B2F" w:rsidP="005F4B2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F4B2F" w:rsidRDefault="005F4B2F" w:rsidP="005F4B2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□自主健康管理 □其他 </w:t>
            </w:r>
          </w:p>
          <w:p w:rsidR="005F4B2F" w:rsidRPr="005F4B2F" w:rsidRDefault="005F4B2F" w:rsidP="005F4B2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F4B2F" w:rsidRPr="005F4B2F" w:rsidRDefault="005F4B2F" w:rsidP="005F4B2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＊</w:t>
            </w:r>
            <w:proofErr w:type="gramEnd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說明：方案面向為體適能者，可以</w:t>
            </w:r>
            <w:proofErr w:type="gramStart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勾選肌力</w:t>
            </w:r>
            <w:proofErr w:type="gramEnd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強化。</w:t>
            </w:r>
          </w:p>
        </w:tc>
      </w:tr>
    </w:tbl>
    <w:p w:rsidR="00BA439A" w:rsidRDefault="00BA439A" w:rsidP="005F4B2F">
      <w:pPr>
        <w:jc w:val="center"/>
      </w:pPr>
    </w:p>
    <w:p w:rsidR="005F4B2F" w:rsidRDefault="005F4B2F" w:rsidP="005F4B2F">
      <w:pPr>
        <w:pStyle w:val="Web"/>
        <w:snapToGrid w:val="0"/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二、結構面</w:t>
      </w:r>
    </w:p>
    <w:tbl>
      <w:tblPr>
        <w:tblW w:w="10457" w:type="dxa"/>
        <w:tblCellSpacing w:w="0" w:type="dxa"/>
        <w:tblInd w:w="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7113"/>
        <w:gridCol w:w="2388"/>
      </w:tblGrid>
      <w:tr w:rsidR="005F4B2F" w:rsidRPr="005F4B2F" w:rsidTr="005F4B2F">
        <w:trPr>
          <w:tblCellSpacing w:w="0" w:type="dxa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B2F" w:rsidRPr="005F4B2F" w:rsidRDefault="005F4B2F" w:rsidP="005F4B2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題號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B2F" w:rsidRPr="005F4B2F" w:rsidRDefault="005F4B2F" w:rsidP="005F4B2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內容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B2F" w:rsidRPr="005F4B2F" w:rsidRDefault="005F4B2F" w:rsidP="005F4B2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4B2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答項</w:t>
            </w:r>
            <w:proofErr w:type="gramEnd"/>
          </w:p>
        </w:tc>
      </w:tr>
      <w:tr w:rsidR="005F4B2F" w:rsidRPr="005F4B2F" w:rsidTr="00BC1282">
        <w:trPr>
          <w:trHeight w:val="2751"/>
          <w:tblCellSpacing w:w="0" w:type="dxa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B2F" w:rsidRPr="005F4B2F" w:rsidRDefault="005F4B2F" w:rsidP="005F4B2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B2F" w:rsidRPr="005F4B2F" w:rsidRDefault="005F4B2F" w:rsidP="00BC1282">
            <w:pPr>
              <w:widowControl/>
              <w:snapToGrid w:val="0"/>
              <w:spacing w:line="5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方案內容可融入長者健康之多元面向（包含認知、行動、營養、視力及聽力、情緒、用藥、生活功能、生活目標等）</w:t>
            </w:r>
          </w:p>
          <w:p w:rsidR="00BC1282" w:rsidRDefault="005F4B2F" w:rsidP="00BC1282">
            <w:pPr>
              <w:widowControl/>
              <w:snapToGrid w:val="0"/>
              <w:spacing w:line="500" w:lineRule="exact"/>
              <w:ind w:left="176" w:hanging="284"/>
              <w:jc w:val="both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＊</w:t>
            </w:r>
            <w:proofErr w:type="gramEnd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說明1：符合國際趨勢，方案雖有重點主題，但可於課程中帶入其他多元健康概念。</w:t>
            </w:r>
          </w:p>
          <w:p w:rsidR="005F4B2F" w:rsidRPr="005F4B2F" w:rsidRDefault="005F4B2F" w:rsidP="00BC1282">
            <w:pPr>
              <w:widowControl/>
              <w:snapToGrid w:val="0"/>
              <w:spacing w:line="500" w:lineRule="exact"/>
              <w:ind w:left="176" w:hanging="284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＊</w:t>
            </w:r>
            <w:proofErr w:type="gramEnd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說明</w:t>
            </w:r>
            <w:r w:rsidRPr="005F4B2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：不強制多元面向主題內容，惟方案成效評量包含多元面向之長者健康評估。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B2F" w:rsidRPr="005F4B2F" w:rsidRDefault="005F4B2F" w:rsidP="00BC1282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□ </w:t>
            </w: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是</w:t>
            </w:r>
          </w:p>
          <w:p w:rsidR="005F4B2F" w:rsidRPr="005F4B2F" w:rsidRDefault="005F4B2F" w:rsidP="00BC1282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□ </w:t>
            </w: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5F4B2F" w:rsidRPr="005F4B2F" w:rsidTr="00BC1282">
        <w:trPr>
          <w:trHeight w:val="994"/>
          <w:tblCellSpacing w:w="0" w:type="dxa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B2F" w:rsidRPr="005F4B2F" w:rsidRDefault="005F4B2F" w:rsidP="005F4B2F">
            <w:pPr>
              <w:pStyle w:val="Web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B2F" w:rsidRPr="005F4B2F" w:rsidRDefault="005F4B2F" w:rsidP="005F4B2F">
            <w:pPr>
              <w:pStyle w:val="Web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提供可洽詢之聯繫窗口（單位及聯繫人）與聯繫方式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B2F" w:rsidRDefault="005F4B2F" w:rsidP="005F4B2F">
            <w:pPr>
              <w:pStyle w:val="Web"/>
            </w:pPr>
            <w:r>
              <w:rPr>
                <w:rFonts w:hint="eastAsia"/>
                <w:color w:val="00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</w:t>
            </w:r>
          </w:p>
          <w:p w:rsidR="005F4B2F" w:rsidRPr="005F4B2F" w:rsidRDefault="005F4B2F" w:rsidP="005F4B2F">
            <w:pPr>
              <w:pStyle w:val="Web"/>
            </w:pPr>
            <w:r>
              <w:rPr>
                <w:rFonts w:hint="eastAsia"/>
                <w:color w:val="00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</w:tr>
      <w:tr w:rsidR="005F4B2F" w:rsidRPr="005F4B2F" w:rsidTr="005F4B2F">
        <w:trPr>
          <w:tblCellSpacing w:w="0" w:type="dxa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B2F" w:rsidRPr="005F4B2F" w:rsidRDefault="005F4B2F" w:rsidP="005F4B2F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B2F" w:rsidRPr="005F4B2F" w:rsidRDefault="005F4B2F" w:rsidP="005F4B2F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指導員之條件</w:t>
            </w:r>
          </w:p>
          <w:p w:rsidR="005F4B2F" w:rsidRPr="005F4B2F" w:rsidRDefault="005F4B2F" w:rsidP="005F4B2F">
            <w:pPr>
              <w:widowControl/>
              <w:numPr>
                <w:ilvl w:val="0"/>
                <w:numId w:val="1"/>
              </w:numPr>
              <w:spacing w:line="5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曾通過方案指導員資格。</w:t>
            </w:r>
          </w:p>
          <w:p w:rsidR="005F4B2F" w:rsidRPr="005F4B2F" w:rsidRDefault="005F4B2F" w:rsidP="005F4B2F">
            <w:pPr>
              <w:widowControl/>
              <w:numPr>
                <w:ilvl w:val="0"/>
                <w:numId w:val="1"/>
              </w:numPr>
              <w:spacing w:line="5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配合中央政府機關政策，完成衛生福利部國民</w:t>
            </w:r>
            <w:proofErr w:type="gramStart"/>
            <w:r w:rsidRPr="005F4B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健康署</w:t>
            </w:r>
            <w:proofErr w:type="gramEnd"/>
            <w:r w:rsidRPr="005F4B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或教育部體育署提供之基礎增能課程訓練。</w:t>
            </w:r>
          </w:p>
          <w:p w:rsidR="005F4B2F" w:rsidRPr="005F4B2F" w:rsidRDefault="005F4B2F" w:rsidP="005F4B2F">
            <w:pPr>
              <w:widowControl/>
              <w:numPr>
                <w:ilvl w:val="0"/>
                <w:numId w:val="1"/>
              </w:numPr>
              <w:spacing w:line="5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建議可具備與方案面向</w:t>
            </w:r>
            <w:proofErr w:type="gramStart"/>
            <w:r w:rsidRPr="005F4B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proofErr w:type="gramEnd"/>
            <w:r w:rsidRPr="005F4B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如：認知、肌力、生活功能、營養</w:t>
            </w:r>
            <w:proofErr w:type="gramStart"/>
            <w:r w:rsidRPr="005F4B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口牙及</w:t>
            </w:r>
            <w:proofErr w:type="gramEnd"/>
            <w:r w:rsidRPr="005F4B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心理社會等</w:t>
            </w:r>
            <w:proofErr w:type="gramStart"/>
            <w:r w:rsidRPr="005F4B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  <w:proofErr w:type="gramEnd"/>
            <w:r w:rsidRPr="005F4B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相符之專業背景。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B2F" w:rsidRPr="005F4B2F" w:rsidRDefault="005F4B2F" w:rsidP="005F4B2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□ </w:t>
            </w:r>
            <w:r w:rsidRPr="005F4B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</w:t>
            </w:r>
          </w:p>
          <w:p w:rsidR="005F4B2F" w:rsidRPr="005F4B2F" w:rsidRDefault="005F4B2F" w:rsidP="005F4B2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□ </w:t>
            </w:r>
            <w:r w:rsidRPr="005F4B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</w:tbl>
    <w:p w:rsidR="005F4B2F" w:rsidRDefault="005F4B2F" w:rsidP="005F4B2F">
      <w:pPr>
        <w:pStyle w:val="Web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三、</w:t>
      </w:r>
      <w:r w:rsidRPr="005F4B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過程面</w:t>
      </w:r>
    </w:p>
    <w:tbl>
      <w:tblPr>
        <w:tblW w:w="10513" w:type="dxa"/>
        <w:tblCellSpacing w:w="0" w:type="dxa"/>
        <w:tblInd w:w="52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2"/>
        <w:gridCol w:w="7113"/>
        <w:gridCol w:w="2388"/>
      </w:tblGrid>
      <w:tr w:rsidR="005F4B2F" w:rsidRPr="005F4B2F" w:rsidTr="005F4B2F">
        <w:trPr>
          <w:trHeight w:val="240"/>
          <w:tblCellSpacing w:w="0" w:type="dxa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B2F" w:rsidRPr="005F4B2F" w:rsidRDefault="005F4B2F" w:rsidP="005F4B2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題號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B2F" w:rsidRPr="005F4B2F" w:rsidRDefault="005F4B2F" w:rsidP="005F4B2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內容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B2F" w:rsidRPr="005F4B2F" w:rsidRDefault="005F4B2F" w:rsidP="005F4B2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4B2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答項</w:t>
            </w:r>
            <w:proofErr w:type="gramEnd"/>
          </w:p>
        </w:tc>
      </w:tr>
      <w:tr w:rsidR="005F4B2F" w:rsidRPr="005F4B2F" w:rsidTr="0019347E">
        <w:trPr>
          <w:trHeight w:val="868"/>
          <w:tblCellSpacing w:w="0" w:type="dxa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B2F" w:rsidRPr="005F4B2F" w:rsidRDefault="005F4B2F" w:rsidP="005F4B2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B2F" w:rsidRPr="005F4B2F" w:rsidRDefault="005F4B2F" w:rsidP="005F4B2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方案應用目標明確，符合參與長者的需求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B2F" w:rsidRPr="005F4B2F" w:rsidRDefault="005F4B2F" w:rsidP="00285BB5">
            <w:pPr>
              <w:widowControl/>
              <w:snapToGrid w:val="0"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□ </w:t>
            </w: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是</w:t>
            </w:r>
          </w:p>
          <w:p w:rsidR="005F4B2F" w:rsidRPr="005F4B2F" w:rsidRDefault="005F4B2F" w:rsidP="00285BB5">
            <w:pPr>
              <w:widowControl/>
              <w:snapToGrid w:val="0"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□ </w:t>
            </w: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5F4B2F" w:rsidRPr="005F4B2F" w:rsidTr="00285BB5">
        <w:trPr>
          <w:trHeight w:val="1251"/>
          <w:tblCellSpacing w:w="0" w:type="dxa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B2F" w:rsidRPr="005F4B2F" w:rsidRDefault="005F4B2F" w:rsidP="005F4B2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B2F" w:rsidRPr="005F4B2F" w:rsidRDefault="005F4B2F" w:rsidP="00285BB5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方案模組之教案架構與核心原理</w:t>
            </w:r>
            <w:proofErr w:type="gramStart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清楚，</w:t>
            </w:r>
            <w:proofErr w:type="gramEnd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且有可操作的流程</w:t>
            </w:r>
          </w:p>
          <w:p w:rsidR="005F4B2F" w:rsidRPr="005F4B2F" w:rsidRDefault="005F4B2F" w:rsidP="00285BB5">
            <w:pPr>
              <w:widowControl/>
              <w:snapToGrid w:val="0"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*</w:t>
            </w:r>
            <w:r w:rsidRPr="005F4B2F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說明:活動內容可依據教案架構與核心原理彈性調整。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B2F" w:rsidRPr="005F4B2F" w:rsidRDefault="005F4B2F" w:rsidP="00285BB5">
            <w:pPr>
              <w:widowControl/>
              <w:snapToGrid w:val="0"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□ </w:t>
            </w: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是</w:t>
            </w:r>
          </w:p>
          <w:p w:rsidR="005F4B2F" w:rsidRPr="005F4B2F" w:rsidRDefault="005F4B2F" w:rsidP="00285BB5">
            <w:pPr>
              <w:widowControl/>
              <w:snapToGrid w:val="0"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□ </w:t>
            </w: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5F4B2F" w:rsidRPr="005F4B2F" w:rsidTr="00285BB5">
        <w:trPr>
          <w:trHeight w:val="1256"/>
          <w:tblCellSpacing w:w="0" w:type="dxa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B2F" w:rsidRPr="005F4B2F" w:rsidRDefault="005F4B2F" w:rsidP="005F4B2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B2F" w:rsidRPr="005F4B2F" w:rsidRDefault="005F4B2F" w:rsidP="00285BB5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活動設計安排，考量長者之參與度與互動性。</w:t>
            </w:r>
          </w:p>
          <w:p w:rsidR="005F4B2F" w:rsidRPr="005F4B2F" w:rsidRDefault="005F4B2F" w:rsidP="00285BB5">
            <w:pPr>
              <w:widowControl/>
              <w:snapToGrid w:val="0"/>
              <w:spacing w:before="100" w:before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*說明:不僅是課堂講授方式、以長者實際操作為主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B2F" w:rsidRPr="005F4B2F" w:rsidRDefault="005F4B2F" w:rsidP="00285BB5">
            <w:pPr>
              <w:widowControl/>
              <w:snapToGrid w:val="0"/>
              <w:spacing w:before="100" w:before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 是</w:t>
            </w:r>
          </w:p>
          <w:p w:rsidR="005F4B2F" w:rsidRPr="005F4B2F" w:rsidRDefault="005F4B2F" w:rsidP="00285BB5">
            <w:pPr>
              <w:widowControl/>
              <w:snapToGrid w:val="0"/>
              <w:spacing w:before="100" w:before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 否</w:t>
            </w:r>
          </w:p>
        </w:tc>
      </w:tr>
      <w:tr w:rsidR="005F4B2F" w:rsidRPr="005F4B2F" w:rsidTr="005F4B2F">
        <w:trPr>
          <w:tblCellSpacing w:w="0" w:type="dxa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B2F" w:rsidRPr="005F4B2F" w:rsidRDefault="005F4B2F" w:rsidP="005F4B2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B2F" w:rsidRPr="005F4B2F" w:rsidRDefault="005F4B2F" w:rsidP="0019347E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建立課前及課後長者功能評估機制，並依照課前評估結果（長者程度）進行課程調整。</w:t>
            </w:r>
          </w:p>
          <w:p w:rsidR="005F4B2F" w:rsidRPr="005F4B2F" w:rsidRDefault="005F4B2F" w:rsidP="0019347E">
            <w:pPr>
              <w:widowControl/>
              <w:snapToGrid w:val="0"/>
              <w:spacing w:before="100" w:beforeAutospacing="1" w:line="400" w:lineRule="exact"/>
              <w:ind w:left="176" w:right="34" w:hanging="17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*說明：建議長者參加</w:t>
            </w:r>
            <w:proofErr w:type="gramStart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課程方案，至少需完成</w:t>
            </w:r>
            <w:proofErr w:type="gramStart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一次前測</w:t>
            </w:r>
            <w:proofErr w:type="gramEnd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（課程執行前二</w:t>
            </w:r>
            <w:proofErr w:type="gramStart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週</w:t>
            </w:r>
            <w:proofErr w:type="gramEnd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內到課程開始第一</w:t>
            </w:r>
            <w:proofErr w:type="gramStart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週</w:t>
            </w:r>
            <w:proofErr w:type="gramEnd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）</w:t>
            </w:r>
            <w:proofErr w:type="gramStart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及後測</w:t>
            </w:r>
            <w:proofErr w:type="gramEnd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（12</w:t>
            </w:r>
            <w:proofErr w:type="gramStart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週</w:t>
            </w:r>
            <w:proofErr w:type="gramEnd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課程之最後</w:t>
            </w:r>
            <w:proofErr w:type="gramStart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一週</w:t>
            </w:r>
            <w:proofErr w:type="gramEnd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到課程結束後二</w:t>
            </w:r>
            <w:proofErr w:type="gramStart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週</w:t>
            </w:r>
            <w:proofErr w:type="gramEnd"/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內），有必要可另安排追蹤測驗。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B2F" w:rsidRPr="005F4B2F" w:rsidRDefault="005F4B2F" w:rsidP="005F4B2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□ </w:t>
            </w: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是</w:t>
            </w:r>
          </w:p>
          <w:p w:rsidR="005F4B2F" w:rsidRPr="005F4B2F" w:rsidRDefault="005F4B2F" w:rsidP="005F4B2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4B2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□ </w:t>
            </w:r>
            <w:r w:rsidRPr="005F4B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19347E" w:rsidRPr="005F4B2F" w:rsidTr="005F4B2F">
        <w:trPr>
          <w:tblCellSpacing w:w="0" w:type="dxa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E" w:rsidRPr="005F4B2F" w:rsidRDefault="0019347E" w:rsidP="005F4B2F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E" w:rsidRPr="0019347E" w:rsidRDefault="0019347E" w:rsidP="0019347E">
            <w:pPr>
              <w:widowControl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4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利用各種多元方式獲得相關人員之回饋(滿意度、課堂討論)，調整課程內容</w:t>
            </w:r>
          </w:p>
          <w:p w:rsidR="0019347E" w:rsidRPr="0019347E" w:rsidRDefault="0019347E" w:rsidP="0019347E">
            <w:pPr>
              <w:pStyle w:val="Web"/>
              <w:snapToGrid w:val="0"/>
              <w:spacing w:line="440" w:lineRule="exact"/>
              <w:ind w:left="176" w:hanging="17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347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*說明：「相關人員」可包含參與課程之長者、帶領師資、社區據點工作人員等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7E" w:rsidRPr="0019347E" w:rsidRDefault="0019347E" w:rsidP="0019347E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34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□ </w:t>
            </w:r>
            <w:r w:rsidRPr="001934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</w:t>
            </w:r>
          </w:p>
          <w:p w:rsidR="0019347E" w:rsidRPr="0019347E" w:rsidRDefault="0019347E" w:rsidP="005F4B2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34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□ </w:t>
            </w:r>
            <w:r w:rsidRPr="001934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19347E" w:rsidRPr="005F4B2F" w:rsidTr="0019347E">
        <w:trPr>
          <w:trHeight w:val="1980"/>
          <w:tblCellSpacing w:w="0" w:type="dxa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E" w:rsidRDefault="0019347E" w:rsidP="005F4B2F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E" w:rsidRPr="0019347E" w:rsidRDefault="0019347E" w:rsidP="0019347E">
            <w:pPr>
              <w:widowControl/>
              <w:snapToGrid w:val="0"/>
              <w:spacing w:before="100" w:beforeAutospacing="1" w:line="5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34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提供安全防護措施指引</w:t>
            </w:r>
            <w:proofErr w:type="gramStart"/>
            <w:r w:rsidRPr="001934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proofErr w:type="gramEnd"/>
            <w:r w:rsidRPr="001934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例如：環境安全提示、預防跌倒、運動傷害等不良反應出現之措施</w:t>
            </w:r>
            <w:proofErr w:type="gramStart"/>
            <w:r w:rsidRPr="001934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  <w:proofErr w:type="gramEnd"/>
            <w:r w:rsidRPr="001934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1934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感控防疫</w:t>
            </w:r>
            <w:proofErr w:type="gramEnd"/>
            <w:r w:rsidRPr="001934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措施指引與緊急意外事件處理流程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E" w:rsidRPr="0019347E" w:rsidRDefault="0019347E" w:rsidP="0019347E">
            <w:pPr>
              <w:widowControl/>
              <w:snapToGrid w:val="0"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34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□ </w:t>
            </w:r>
            <w:r w:rsidRPr="001934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</w:t>
            </w:r>
          </w:p>
          <w:p w:rsidR="0019347E" w:rsidRPr="0019347E" w:rsidRDefault="0019347E" w:rsidP="0019347E">
            <w:pPr>
              <w:widowControl/>
              <w:snapToGrid w:val="0"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34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□ </w:t>
            </w:r>
            <w:r w:rsidRPr="001934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19347E" w:rsidRPr="005F4B2F" w:rsidTr="0019347E">
        <w:trPr>
          <w:trHeight w:val="1980"/>
          <w:tblCellSpacing w:w="0" w:type="dxa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E" w:rsidRDefault="0019347E" w:rsidP="005F4B2F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E" w:rsidRPr="0019347E" w:rsidRDefault="0019347E" w:rsidP="0019347E">
            <w:pPr>
              <w:widowControl/>
              <w:snapToGrid w:val="0"/>
              <w:spacing w:before="100" w:beforeAutospacing="1" w:line="5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34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提供方案品質管控機制</w:t>
            </w:r>
            <w:r w:rsidRPr="0019347E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(</w:t>
            </w:r>
            <w:r w:rsidRPr="001934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例如</w:t>
            </w:r>
            <w:r w:rsidRPr="0019347E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:</w:t>
            </w:r>
            <w:r w:rsidRPr="001934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定期與指導員討論或</w:t>
            </w:r>
            <w:proofErr w:type="gramStart"/>
            <w:r w:rsidRPr="001934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進行回訓</w:t>
            </w:r>
            <w:proofErr w:type="gramEnd"/>
            <w:r w:rsidRPr="001934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，瞭解長者參與之過程及成效等</w:t>
            </w:r>
            <w:r w:rsidRPr="0019347E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 xml:space="preserve">) 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E" w:rsidRPr="0019347E" w:rsidRDefault="0019347E" w:rsidP="0019347E">
            <w:pPr>
              <w:widowControl/>
              <w:snapToGrid w:val="0"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34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□ </w:t>
            </w:r>
            <w:r w:rsidRPr="001934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</w:t>
            </w:r>
          </w:p>
          <w:p w:rsidR="0019347E" w:rsidRPr="0019347E" w:rsidRDefault="0019347E" w:rsidP="0019347E">
            <w:pPr>
              <w:widowControl/>
              <w:snapToGrid w:val="0"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34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□ </w:t>
            </w:r>
            <w:r w:rsidRPr="001934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</w:tbl>
    <w:p w:rsidR="0069408F" w:rsidRPr="0069408F" w:rsidRDefault="0069408F" w:rsidP="0069408F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69408F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四、結果面</w:t>
      </w:r>
    </w:p>
    <w:tbl>
      <w:tblPr>
        <w:tblW w:w="10489" w:type="dxa"/>
        <w:tblCellSpacing w:w="0" w:type="dxa"/>
        <w:tblInd w:w="54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"/>
        <w:gridCol w:w="7113"/>
        <w:gridCol w:w="2384"/>
      </w:tblGrid>
      <w:tr w:rsidR="0069408F" w:rsidRPr="0069408F" w:rsidTr="0069408F">
        <w:trPr>
          <w:trHeight w:val="330"/>
          <w:tblCellSpacing w:w="0" w:type="dxa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08F" w:rsidRPr="0069408F" w:rsidRDefault="0069408F" w:rsidP="0069408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08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題號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08F" w:rsidRPr="0069408F" w:rsidRDefault="0069408F" w:rsidP="0069408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08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內容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08F" w:rsidRPr="0069408F" w:rsidRDefault="0069408F" w:rsidP="0069408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69408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答項</w:t>
            </w:r>
            <w:proofErr w:type="gramEnd"/>
          </w:p>
        </w:tc>
      </w:tr>
      <w:tr w:rsidR="0069408F" w:rsidRPr="0069408F" w:rsidTr="0069408F">
        <w:trPr>
          <w:trHeight w:val="2445"/>
          <w:tblCellSpacing w:w="0" w:type="dxa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08F" w:rsidRPr="0069408F" w:rsidRDefault="0069408F" w:rsidP="0069408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08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08F" w:rsidRPr="0069408F" w:rsidRDefault="0069408F" w:rsidP="0069408F">
            <w:pPr>
              <w:widowControl/>
              <w:snapToGrid w:val="0"/>
              <w:spacing w:before="100" w:before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9408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執行成效評估與分析</w:t>
            </w:r>
          </w:p>
          <w:p w:rsidR="0069408F" w:rsidRPr="0069408F" w:rsidRDefault="00BC1282" w:rsidP="0069408F">
            <w:pPr>
              <w:widowControl/>
              <w:snapToGrid w:val="0"/>
              <w:spacing w:before="100" w:beforeAutospacing="1"/>
              <w:ind w:left="454" w:hanging="454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9408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□</w:t>
            </w:r>
            <w:r w:rsidR="0069408F" w:rsidRPr="0069408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A.</w:t>
            </w:r>
            <w:r w:rsidR="0069408F" w:rsidRPr="0069408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ICOPE</w:t>
            </w:r>
            <w:r w:rsidR="0069408F" w:rsidRPr="0069408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自評，</w:t>
            </w:r>
            <w:proofErr w:type="gramStart"/>
            <w:r w:rsidR="0069408F" w:rsidRPr="0069408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以及肌</w:t>
            </w:r>
            <w:proofErr w:type="gramEnd"/>
            <w:r w:rsidR="0069408F" w:rsidRPr="0069408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力、營養或認知異常面向</w:t>
            </w:r>
            <w:proofErr w:type="gramStart"/>
            <w:r w:rsidR="0069408F" w:rsidRPr="0069408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複</w:t>
            </w:r>
            <w:proofErr w:type="gramEnd"/>
            <w:r w:rsidR="0069408F" w:rsidRPr="0069408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評</w:t>
            </w:r>
            <w:r w:rsidR="0069408F" w:rsidRPr="0069408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(</w:t>
            </w:r>
            <w:r w:rsidR="0069408F" w:rsidRPr="0069408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肌力</w:t>
            </w:r>
            <w:r w:rsidR="0069408F" w:rsidRPr="0069408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:SPPB</w:t>
            </w:r>
            <w:r w:rsidR="0069408F" w:rsidRPr="0069408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、認知</w:t>
            </w:r>
            <w:r w:rsidR="0069408F" w:rsidRPr="0069408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: MMSE</w:t>
            </w:r>
            <w:r w:rsidR="0069408F" w:rsidRPr="0069408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、營養</w:t>
            </w:r>
            <w:r w:rsidR="0069408F" w:rsidRPr="0069408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: MNA)</w:t>
            </w:r>
          </w:p>
          <w:p w:rsidR="0069408F" w:rsidRPr="0069408F" w:rsidRDefault="00BC1282" w:rsidP="0069408F">
            <w:pPr>
              <w:widowControl/>
              <w:snapToGrid w:val="0"/>
              <w:spacing w:before="100" w:beforeAutospacing="1"/>
              <w:ind w:left="454" w:hanging="454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9408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□</w:t>
            </w:r>
            <w:r w:rsidR="0069408F" w:rsidRPr="0069408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B.</w:t>
            </w:r>
            <w:r w:rsidR="0069408F" w:rsidRPr="0069408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方案成效評估（可依</w:t>
            </w:r>
            <w:r w:rsidR="0069408F" w:rsidRPr="0069408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ICOPE</w:t>
            </w:r>
            <w:r w:rsidR="0069408F" w:rsidRPr="0069408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評估結果異常面向選用對應題項）</w:t>
            </w:r>
          </w:p>
          <w:p w:rsidR="0069408F" w:rsidRPr="0069408F" w:rsidRDefault="00BC1282" w:rsidP="0069408F">
            <w:pPr>
              <w:widowControl/>
              <w:snapToGrid w:val="0"/>
              <w:spacing w:before="100" w:before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9408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□</w:t>
            </w:r>
            <w:r w:rsidR="0069408F" w:rsidRPr="0069408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C.</w:t>
            </w:r>
            <w:r w:rsidR="0069408F" w:rsidRPr="0069408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其他，方案開發者增加之評估：</w:t>
            </w:r>
            <w:r w:rsidR="0069408F" w:rsidRPr="0069408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08F" w:rsidRPr="0069408F" w:rsidRDefault="0069408F" w:rsidP="0069408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08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□ </w:t>
            </w:r>
            <w:r w:rsidRPr="0069408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是</w:t>
            </w:r>
          </w:p>
          <w:p w:rsidR="0069408F" w:rsidRPr="0069408F" w:rsidRDefault="0069408F" w:rsidP="0069408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08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□ </w:t>
            </w:r>
            <w:r w:rsidRPr="0069408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否</w:t>
            </w:r>
          </w:p>
        </w:tc>
      </w:tr>
    </w:tbl>
    <w:p w:rsidR="002B122C" w:rsidRDefault="002B122C" w:rsidP="0069408F">
      <w:pPr>
        <w:pStyle w:val="Web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2B122C" w:rsidRDefault="002B122C" w:rsidP="0069408F">
      <w:pPr>
        <w:pStyle w:val="Web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122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機構人員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簽章：　　　　　　　　　　　　　填寫日期：　　　年　　　月　　　日</w:t>
      </w:r>
    </w:p>
    <w:p w:rsidR="002B122C" w:rsidRPr="002B122C" w:rsidRDefault="002B122C" w:rsidP="0069408F">
      <w:pPr>
        <w:pStyle w:val="Web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5F4B2F" w:rsidRDefault="005F4B2F" w:rsidP="005F4B2F">
      <w:pPr>
        <w:pStyle w:val="Web"/>
      </w:pPr>
    </w:p>
    <w:p w:rsidR="005F4B2F" w:rsidRDefault="005F4B2F" w:rsidP="005F4B2F">
      <w:pPr>
        <w:pStyle w:val="Web"/>
        <w:spacing w:before="181" w:beforeAutospacing="0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5F4B2F" w:rsidRPr="0069408F" w:rsidRDefault="005F4B2F" w:rsidP="0069408F">
      <w:pPr>
        <w:widowControl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sectPr w:rsidR="005F4B2F" w:rsidRPr="0069408F" w:rsidSect="005F4B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2346"/>
    <w:multiLevelType w:val="hybridMultilevel"/>
    <w:tmpl w:val="F59E3F32"/>
    <w:lvl w:ilvl="0" w:tplc="F9F6DB4E">
      <w:start w:val="1"/>
      <w:numFmt w:val="taiwaneseCountingThousand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A95BC1"/>
    <w:multiLevelType w:val="multilevel"/>
    <w:tmpl w:val="82C2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2F"/>
    <w:rsid w:val="0019347E"/>
    <w:rsid w:val="00285BB5"/>
    <w:rsid w:val="002B122C"/>
    <w:rsid w:val="005F4B2F"/>
    <w:rsid w:val="0069408F"/>
    <w:rsid w:val="009932E5"/>
    <w:rsid w:val="00BA439A"/>
    <w:rsid w:val="00BC1282"/>
    <w:rsid w:val="00F2741F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F4B2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-web-cjk">
    <w:name w:val="內文-(web)-cjk"/>
    <w:basedOn w:val="a"/>
    <w:rsid w:val="005F4B2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F4B2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-web-cjk">
    <w:name w:val="內文-(web)-cjk"/>
    <w:basedOn w:val="a"/>
    <w:rsid w:val="005F4B2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2022-09-01T11:12:00Z</cp:lastPrinted>
  <dcterms:created xsi:type="dcterms:W3CDTF">2023-03-02T08:10:00Z</dcterms:created>
  <dcterms:modified xsi:type="dcterms:W3CDTF">2023-03-02T08:10:00Z</dcterms:modified>
</cp:coreProperties>
</file>