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41F" w:rsidRDefault="0048441F" w:rsidP="0048441F">
      <w:pPr>
        <w:widowControl/>
        <w:shd w:val="clear" w:color="auto" w:fill="F5F5F5"/>
        <w:spacing w:line="408" w:lineRule="atLeast"/>
        <w:rPr>
          <w:rFonts w:ascii="細明體" w:eastAsia="細明體" w:hAnsi="細明體" w:cs="Helvetica" w:hint="eastAsia"/>
          <w:color w:val="000000"/>
          <w:kern w:val="0"/>
          <w:sz w:val="40"/>
          <w:szCs w:val="40"/>
        </w:rPr>
      </w:pPr>
      <w:bookmarkStart w:id="0" w:name="_GoBack"/>
      <w:r w:rsidRPr="002D3B11">
        <w:rPr>
          <w:rFonts w:ascii="細明體" w:eastAsia="細明體" w:hAnsi="細明體" w:cs="Helvetica" w:hint="eastAsia"/>
          <w:color w:val="000000"/>
          <w:kern w:val="0"/>
          <w:sz w:val="40"/>
          <w:szCs w:val="40"/>
        </w:rPr>
        <w:t>強迫入學條例</w:t>
      </w:r>
      <w:r>
        <w:rPr>
          <w:rFonts w:ascii="細明體" w:eastAsia="細明體" w:hAnsi="細明體" w:cs="Helvetica" w:hint="eastAsia"/>
          <w:color w:val="000000"/>
          <w:kern w:val="0"/>
          <w:sz w:val="40"/>
          <w:szCs w:val="40"/>
        </w:rPr>
        <w:t>施行細則</w:t>
      </w:r>
    </w:p>
    <w:bookmarkEnd w:id="0"/>
    <w:p w:rsidR="0048441F" w:rsidRPr="0048441F" w:rsidRDefault="0048441F" w:rsidP="0048441F">
      <w:pPr>
        <w:widowControl/>
        <w:shd w:val="clear" w:color="auto" w:fill="F5F5F5"/>
        <w:spacing w:line="408" w:lineRule="atLeast"/>
        <w:rPr>
          <w:rFonts w:ascii="細明體" w:eastAsia="細明體" w:hAnsi="細明體" w:cs="Helvetica"/>
          <w:color w:val="000000"/>
          <w:kern w:val="0"/>
          <w:sz w:val="21"/>
          <w:szCs w:val="21"/>
        </w:rPr>
      </w:pPr>
      <w:r w:rsidRPr="0048441F">
        <w:rPr>
          <w:rFonts w:ascii="細明體" w:eastAsia="細明體" w:hAnsi="細明體" w:cs="Helvetica"/>
          <w:color w:val="000000"/>
          <w:kern w:val="0"/>
          <w:sz w:val="21"/>
          <w:szCs w:val="21"/>
        </w:rPr>
        <w:fldChar w:fldCharType="begin"/>
      </w:r>
      <w:r w:rsidRPr="0048441F">
        <w:rPr>
          <w:rFonts w:ascii="細明體" w:eastAsia="細明體" w:hAnsi="細明體" w:cs="Helvetica"/>
          <w:color w:val="000000"/>
          <w:kern w:val="0"/>
          <w:sz w:val="21"/>
          <w:szCs w:val="21"/>
        </w:rPr>
        <w:instrText xml:space="preserve"> HYPERLINK "https://law.moj.gov.tw/LawClass/LawSingle.aspx?pcode=H0070011&amp;flno=1" </w:instrText>
      </w:r>
      <w:r w:rsidRPr="0048441F">
        <w:rPr>
          <w:rFonts w:ascii="細明體" w:eastAsia="細明體" w:hAnsi="細明體" w:cs="Helvetica"/>
          <w:color w:val="000000"/>
          <w:kern w:val="0"/>
          <w:sz w:val="21"/>
          <w:szCs w:val="21"/>
        </w:rPr>
        <w:fldChar w:fldCharType="separate"/>
      </w:r>
      <w:r w:rsidRPr="0048441F">
        <w:rPr>
          <w:rFonts w:ascii="細明體" w:eastAsia="細明體" w:hAnsi="細明體" w:cs="Helvetica" w:hint="eastAsia"/>
          <w:color w:val="057B7B"/>
          <w:kern w:val="0"/>
          <w:sz w:val="21"/>
          <w:szCs w:val="21"/>
        </w:rPr>
        <w:t>第 1 條</w:t>
      </w:r>
      <w:r w:rsidRPr="0048441F">
        <w:rPr>
          <w:rFonts w:ascii="細明體" w:eastAsia="細明體" w:hAnsi="細明體" w:cs="Helvetica"/>
          <w:color w:val="000000"/>
          <w:kern w:val="0"/>
          <w:sz w:val="21"/>
          <w:szCs w:val="21"/>
        </w:rPr>
        <w:fldChar w:fldCharType="end"/>
      </w:r>
    </w:p>
    <w:p w:rsidR="0048441F" w:rsidRPr="0048441F" w:rsidRDefault="0048441F" w:rsidP="0048441F">
      <w:pPr>
        <w:widowControl/>
        <w:shd w:val="clear" w:color="auto" w:fill="F5F5F5"/>
        <w:spacing w:line="408" w:lineRule="atLeast"/>
        <w:rPr>
          <w:rFonts w:ascii="細明體" w:eastAsia="細明體" w:hAnsi="細明體" w:cs="Helvetica" w:hint="eastAsia"/>
          <w:color w:val="000000"/>
          <w:kern w:val="0"/>
          <w:sz w:val="21"/>
          <w:szCs w:val="21"/>
        </w:rPr>
      </w:pPr>
      <w:r w:rsidRPr="0048441F">
        <w:rPr>
          <w:rFonts w:ascii="細明體" w:eastAsia="細明體" w:hAnsi="細明體" w:cs="Helvetica" w:hint="eastAsia"/>
          <w:color w:val="000000"/>
          <w:kern w:val="0"/>
          <w:sz w:val="21"/>
          <w:szCs w:val="21"/>
        </w:rPr>
        <w:t>本細則依強迫入學條例 (以下簡稱本條例) 第十六條規定訂定之。</w:t>
      </w:r>
    </w:p>
    <w:p w:rsidR="0048441F" w:rsidRPr="0048441F" w:rsidRDefault="0048441F" w:rsidP="0048441F">
      <w:pPr>
        <w:widowControl/>
        <w:shd w:val="clear" w:color="auto" w:fill="F5F5F5"/>
        <w:spacing w:line="408" w:lineRule="atLeast"/>
        <w:rPr>
          <w:rFonts w:ascii="細明體" w:eastAsia="細明體" w:hAnsi="細明體" w:cs="Helvetica" w:hint="eastAsia"/>
          <w:color w:val="000000"/>
          <w:kern w:val="0"/>
          <w:sz w:val="21"/>
          <w:szCs w:val="21"/>
        </w:rPr>
      </w:pPr>
      <w:hyperlink r:id="rId5" w:history="1">
        <w:r w:rsidRPr="0048441F">
          <w:rPr>
            <w:rFonts w:ascii="細明體" w:eastAsia="細明體" w:hAnsi="細明體" w:cs="Helvetica" w:hint="eastAsia"/>
            <w:color w:val="057B7B"/>
            <w:kern w:val="0"/>
            <w:sz w:val="21"/>
            <w:szCs w:val="21"/>
          </w:rPr>
          <w:t>第 2 條</w:t>
        </w:r>
      </w:hyperlink>
    </w:p>
    <w:p w:rsidR="0048441F" w:rsidRPr="0048441F" w:rsidRDefault="0048441F" w:rsidP="0048441F">
      <w:pPr>
        <w:widowControl/>
        <w:shd w:val="clear" w:color="auto" w:fill="F5F5F5"/>
        <w:spacing w:line="408" w:lineRule="atLeast"/>
        <w:rPr>
          <w:rFonts w:ascii="細明體" w:eastAsia="細明體" w:hAnsi="細明體" w:cs="Helvetica" w:hint="eastAsia"/>
          <w:color w:val="000000"/>
          <w:kern w:val="0"/>
          <w:sz w:val="21"/>
          <w:szCs w:val="21"/>
        </w:rPr>
      </w:pPr>
      <w:r w:rsidRPr="0048441F">
        <w:rPr>
          <w:rFonts w:ascii="細明體" w:eastAsia="細明體" w:hAnsi="細明體" w:cs="Helvetica" w:hint="eastAsia"/>
          <w:color w:val="000000"/>
          <w:kern w:val="0"/>
          <w:sz w:val="21"/>
          <w:szCs w:val="21"/>
        </w:rPr>
        <w:t>本條例第二條所稱六歲至十五歲國民 (以下簡稱適齡國民) 之強迫入學，</w:t>
      </w:r>
      <w:r w:rsidRPr="0048441F">
        <w:rPr>
          <w:rFonts w:ascii="細明體" w:eastAsia="細明體" w:hAnsi="細明體" w:cs="Helvetica" w:hint="eastAsia"/>
          <w:color w:val="000000"/>
          <w:kern w:val="0"/>
          <w:sz w:val="21"/>
          <w:szCs w:val="21"/>
        </w:rPr>
        <w:br/>
        <w:t>其期間自國民滿六歲該年度九月一日開始至滿十五歲之該學年度結束為止</w:t>
      </w:r>
      <w:r w:rsidRPr="0048441F">
        <w:rPr>
          <w:rFonts w:ascii="細明體" w:eastAsia="細明體" w:hAnsi="細明體" w:cs="Helvetica" w:hint="eastAsia"/>
          <w:color w:val="000000"/>
          <w:kern w:val="0"/>
          <w:sz w:val="21"/>
          <w:szCs w:val="21"/>
        </w:rPr>
        <w:br/>
        <w:t>。但已依相關法規完成國民中學課程者，不在此限。</w:t>
      </w:r>
    </w:p>
    <w:p w:rsidR="0048441F" w:rsidRPr="0048441F" w:rsidRDefault="0048441F" w:rsidP="0048441F">
      <w:pPr>
        <w:widowControl/>
        <w:shd w:val="clear" w:color="auto" w:fill="F5F5F5"/>
        <w:spacing w:line="408" w:lineRule="atLeast"/>
        <w:rPr>
          <w:rFonts w:ascii="細明體" w:eastAsia="細明體" w:hAnsi="細明體" w:cs="Helvetica" w:hint="eastAsia"/>
          <w:color w:val="000000"/>
          <w:kern w:val="0"/>
          <w:sz w:val="21"/>
          <w:szCs w:val="21"/>
        </w:rPr>
      </w:pPr>
      <w:hyperlink r:id="rId6" w:history="1">
        <w:r w:rsidRPr="0048441F">
          <w:rPr>
            <w:rFonts w:ascii="細明體" w:eastAsia="細明體" w:hAnsi="細明體" w:cs="Helvetica" w:hint="eastAsia"/>
            <w:color w:val="057B7B"/>
            <w:kern w:val="0"/>
            <w:sz w:val="21"/>
            <w:szCs w:val="21"/>
          </w:rPr>
          <w:t>第 3 條</w:t>
        </w:r>
      </w:hyperlink>
    </w:p>
    <w:p w:rsidR="0048441F" w:rsidRPr="0048441F" w:rsidRDefault="0048441F" w:rsidP="0048441F">
      <w:pPr>
        <w:widowControl/>
        <w:shd w:val="clear" w:color="auto" w:fill="F5F5F5"/>
        <w:spacing w:line="408" w:lineRule="atLeast"/>
        <w:rPr>
          <w:rFonts w:ascii="細明體" w:eastAsia="細明體" w:hAnsi="細明體" w:cs="Helvetica" w:hint="eastAsia"/>
          <w:color w:val="000000"/>
          <w:kern w:val="0"/>
          <w:sz w:val="21"/>
          <w:szCs w:val="21"/>
        </w:rPr>
      </w:pPr>
      <w:r w:rsidRPr="0048441F">
        <w:rPr>
          <w:rFonts w:ascii="細明體" w:eastAsia="細明體" w:hAnsi="細明體" w:cs="Helvetica" w:hint="eastAsia"/>
          <w:color w:val="000000"/>
          <w:kern w:val="0"/>
          <w:sz w:val="21"/>
          <w:szCs w:val="21"/>
        </w:rPr>
        <w:t>依本條例第三條規定所設直轄市、縣 (市) 強迫入學委員會應規劃便利學</w:t>
      </w:r>
      <w:r w:rsidRPr="0048441F">
        <w:rPr>
          <w:rFonts w:ascii="細明體" w:eastAsia="細明體" w:hAnsi="細明體" w:cs="Helvetica" w:hint="eastAsia"/>
          <w:color w:val="000000"/>
          <w:kern w:val="0"/>
          <w:sz w:val="21"/>
          <w:szCs w:val="21"/>
        </w:rPr>
        <w:br/>
        <w:t>生就學、提高就學率、協助家庭清寒或家庭變故學生解決困難等強迫入學</w:t>
      </w:r>
      <w:r w:rsidRPr="0048441F">
        <w:rPr>
          <w:rFonts w:ascii="細明體" w:eastAsia="細明體" w:hAnsi="細明體" w:cs="Helvetica" w:hint="eastAsia"/>
          <w:color w:val="000000"/>
          <w:kern w:val="0"/>
          <w:sz w:val="21"/>
          <w:szCs w:val="21"/>
        </w:rPr>
        <w:br/>
        <w:t>事宜。</w:t>
      </w:r>
      <w:r w:rsidRPr="0048441F">
        <w:rPr>
          <w:rFonts w:ascii="細明體" w:eastAsia="細明體" w:hAnsi="細明體" w:cs="Helvetica" w:hint="eastAsia"/>
          <w:color w:val="000000"/>
          <w:kern w:val="0"/>
          <w:sz w:val="21"/>
          <w:szCs w:val="21"/>
        </w:rPr>
        <w:br/>
        <w:t>依本條例第四條規定</w:t>
      </w:r>
      <w:proofErr w:type="gramStart"/>
      <w:r w:rsidRPr="0048441F">
        <w:rPr>
          <w:rFonts w:ascii="細明體" w:eastAsia="細明體" w:hAnsi="細明體" w:cs="Helvetica" w:hint="eastAsia"/>
          <w:color w:val="000000"/>
          <w:kern w:val="0"/>
          <w:sz w:val="21"/>
          <w:szCs w:val="21"/>
        </w:rPr>
        <w:t>所設鄉</w:t>
      </w:r>
      <w:proofErr w:type="gramEnd"/>
      <w:r w:rsidRPr="0048441F">
        <w:rPr>
          <w:rFonts w:ascii="細明體" w:eastAsia="細明體" w:hAnsi="細明體" w:cs="Helvetica" w:hint="eastAsia"/>
          <w:color w:val="000000"/>
          <w:kern w:val="0"/>
          <w:sz w:val="21"/>
          <w:szCs w:val="21"/>
        </w:rPr>
        <w:t xml:space="preserve"> (鎮、市、區) 強迫入學委員會應辦理強迫入</w:t>
      </w:r>
      <w:r w:rsidRPr="0048441F">
        <w:rPr>
          <w:rFonts w:ascii="細明體" w:eastAsia="細明體" w:hAnsi="細明體" w:cs="Helvetica" w:hint="eastAsia"/>
          <w:color w:val="000000"/>
          <w:kern w:val="0"/>
          <w:sz w:val="21"/>
          <w:szCs w:val="21"/>
        </w:rPr>
        <w:br/>
        <w:t>學法令之宣導，並執行強迫入學事宜。</w:t>
      </w:r>
    </w:p>
    <w:p w:rsidR="0048441F" w:rsidRPr="0048441F" w:rsidRDefault="0048441F" w:rsidP="0048441F">
      <w:pPr>
        <w:widowControl/>
        <w:shd w:val="clear" w:color="auto" w:fill="F5F5F5"/>
        <w:spacing w:line="408" w:lineRule="atLeast"/>
        <w:rPr>
          <w:rFonts w:ascii="細明體" w:eastAsia="細明體" w:hAnsi="細明體" w:cs="Helvetica" w:hint="eastAsia"/>
          <w:color w:val="000000"/>
          <w:kern w:val="0"/>
          <w:sz w:val="21"/>
          <w:szCs w:val="21"/>
        </w:rPr>
      </w:pPr>
      <w:hyperlink r:id="rId7" w:history="1">
        <w:r w:rsidRPr="0048441F">
          <w:rPr>
            <w:rFonts w:ascii="細明體" w:eastAsia="細明體" w:hAnsi="細明體" w:cs="Helvetica" w:hint="eastAsia"/>
            <w:color w:val="057B7B"/>
            <w:kern w:val="0"/>
            <w:sz w:val="21"/>
            <w:szCs w:val="21"/>
          </w:rPr>
          <w:t>第 4 條</w:t>
        </w:r>
      </w:hyperlink>
    </w:p>
    <w:p w:rsidR="0048441F" w:rsidRPr="0048441F" w:rsidRDefault="0048441F" w:rsidP="0048441F">
      <w:pPr>
        <w:widowControl/>
        <w:shd w:val="clear" w:color="auto" w:fill="F5F5F5"/>
        <w:spacing w:line="408" w:lineRule="atLeast"/>
        <w:rPr>
          <w:rFonts w:ascii="細明體" w:eastAsia="細明體" w:hAnsi="細明體" w:cs="Helvetica" w:hint="eastAsia"/>
          <w:color w:val="000000"/>
          <w:kern w:val="0"/>
          <w:sz w:val="21"/>
          <w:szCs w:val="21"/>
        </w:rPr>
      </w:pPr>
      <w:r w:rsidRPr="0048441F">
        <w:rPr>
          <w:rFonts w:ascii="細明體" w:eastAsia="細明體" w:hAnsi="細明體" w:cs="Helvetica" w:hint="eastAsia"/>
          <w:color w:val="000000"/>
          <w:kern w:val="0"/>
          <w:sz w:val="21"/>
          <w:szCs w:val="21"/>
        </w:rPr>
        <w:t>直轄市、縣 (市) 強迫入學委員會主任委員得就直轄市、縣 (市) 主管教</w:t>
      </w:r>
      <w:r w:rsidRPr="0048441F">
        <w:rPr>
          <w:rFonts w:ascii="細明體" w:eastAsia="細明體" w:hAnsi="細明體" w:cs="Helvetica" w:hint="eastAsia"/>
          <w:color w:val="000000"/>
          <w:kern w:val="0"/>
          <w:sz w:val="21"/>
          <w:szCs w:val="21"/>
        </w:rPr>
        <w:br/>
        <w:t>育行政機關現職</w:t>
      </w:r>
      <w:proofErr w:type="gramStart"/>
      <w:r w:rsidRPr="0048441F">
        <w:rPr>
          <w:rFonts w:ascii="細明體" w:eastAsia="細明體" w:hAnsi="細明體" w:cs="Helvetica" w:hint="eastAsia"/>
          <w:color w:val="000000"/>
          <w:kern w:val="0"/>
          <w:sz w:val="21"/>
          <w:szCs w:val="21"/>
        </w:rPr>
        <w:t>人員中聘兼</w:t>
      </w:r>
      <w:proofErr w:type="gramEnd"/>
      <w:r w:rsidRPr="0048441F">
        <w:rPr>
          <w:rFonts w:ascii="細明體" w:eastAsia="細明體" w:hAnsi="細明體" w:cs="Helvetica" w:hint="eastAsia"/>
          <w:color w:val="000000"/>
          <w:kern w:val="0"/>
          <w:sz w:val="21"/>
          <w:szCs w:val="21"/>
        </w:rPr>
        <w:t>執行秘書及幹事各一人，辦理日常事務。</w:t>
      </w:r>
      <w:r w:rsidRPr="0048441F">
        <w:rPr>
          <w:rFonts w:ascii="細明體" w:eastAsia="細明體" w:hAnsi="細明體" w:cs="Helvetica" w:hint="eastAsia"/>
          <w:color w:val="000000"/>
          <w:kern w:val="0"/>
          <w:sz w:val="21"/>
          <w:szCs w:val="21"/>
        </w:rPr>
        <w:br/>
        <w:t>鄉 (鎮、市、區) 強迫入學委員會主任委員</w:t>
      </w:r>
      <w:proofErr w:type="gramStart"/>
      <w:r w:rsidRPr="0048441F">
        <w:rPr>
          <w:rFonts w:ascii="細明體" w:eastAsia="細明體" w:hAnsi="細明體" w:cs="Helvetica" w:hint="eastAsia"/>
          <w:color w:val="000000"/>
          <w:kern w:val="0"/>
          <w:sz w:val="21"/>
          <w:szCs w:val="21"/>
        </w:rPr>
        <w:t>得就鄉</w:t>
      </w:r>
      <w:proofErr w:type="gramEnd"/>
      <w:r w:rsidRPr="0048441F">
        <w:rPr>
          <w:rFonts w:ascii="細明體" w:eastAsia="細明體" w:hAnsi="細明體" w:cs="Helvetica" w:hint="eastAsia"/>
          <w:color w:val="000000"/>
          <w:kern w:val="0"/>
          <w:sz w:val="21"/>
          <w:szCs w:val="21"/>
        </w:rPr>
        <w:t xml:space="preserve"> (鎮、市、區) 公所現</w:t>
      </w:r>
      <w:r w:rsidRPr="0048441F">
        <w:rPr>
          <w:rFonts w:ascii="細明體" w:eastAsia="細明體" w:hAnsi="細明體" w:cs="Helvetica" w:hint="eastAsia"/>
          <w:color w:val="000000"/>
          <w:kern w:val="0"/>
          <w:sz w:val="21"/>
          <w:szCs w:val="21"/>
        </w:rPr>
        <w:br/>
        <w:t>職</w:t>
      </w:r>
      <w:proofErr w:type="gramStart"/>
      <w:r w:rsidRPr="0048441F">
        <w:rPr>
          <w:rFonts w:ascii="細明體" w:eastAsia="細明體" w:hAnsi="細明體" w:cs="Helvetica" w:hint="eastAsia"/>
          <w:color w:val="000000"/>
          <w:kern w:val="0"/>
          <w:sz w:val="21"/>
          <w:szCs w:val="21"/>
        </w:rPr>
        <w:t>人員中聘兼</w:t>
      </w:r>
      <w:proofErr w:type="gramEnd"/>
      <w:r w:rsidRPr="0048441F">
        <w:rPr>
          <w:rFonts w:ascii="細明體" w:eastAsia="細明體" w:hAnsi="細明體" w:cs="Helvetica" w:hint="eastAsia"/>
          <w:color w:val="000000"/>
          <w:kern w:val="0"/>
          <w:sz w:val="21"/>
          <w:szCs w:val="21"/>
        </w:rPr>
        <w:t>執行秘書一人，辦理日常事務。</w:t>
      </w:r>
    </w:p>
    <w:p w:rsidR="0048441F" w:rsidRPr="0048441F" w:rsidRDefault="0048441F" w:rsidP="0048441F">
      <w:pPr>
        <w:widowControl/>
        <w:shd w:val="clear" w:color="auto" w:fill="F5F5F5"/>
        <w:spacing w:line="408" w:lineRule="atLeast"/>
        <w:rPr>
          <w:rFonts w:ascii="細明體" w:eastAsia="細明體" w:hAnsi="細明體" w:cs="Helvetica" w:hint="eastAsia"/>
          <w:color w:val="000000"/>
          <w:kern w:val="0"/>
          <w:sz w:val="21"/>
          <w:szCs w:val="21"/>
        </w:rPr>
      </w:pPr>
      <w:hyperlink r:id="rId8" w:history="1">
        <w:r w:rsidRPr="0048441F">
          <w:rPr>
            <w:rFonts w:ascii="細明體" w:eastAsia="細明體" w:hAnsi="細明體" w:cs="Helvetica" w:hint="eastAsia"/>
            <w:color w:val="057B7B"/>
            <w:kern w:val="0"/>
            <w:sz w:val="21"/>
            <w:szCs w:val="21"/>
          </w:rPr>
          <w:t>第 5 條</w:t>
        </w:r>
      </w:hyperlink>
    </w:p>
    <w:p w:rsidR="0048441F" w:rsidRPr="0048441F" w:rsidRDefault="0048441F" w:rsidP="0048441F">
      <w:pPr>
        <w:widowControl/>
        <w:shd w:val="clear" w:color="auto" w:fill="F5F5F5"/>
        <w:spacing w:line="408" w:lineRule="atLeast"/>
        <w:rPr>
          <w:rFonts w:ascii="細明體" w:eastAsia="細明體" w:hAnsi="細明體" w:cs="Helvetica" w:hint="eastAsia"/>
          <w:color w:val="000000"/>
          <w:kern w:val="0"/>
          <w:sz w:val="21"/>
          <w:szCs w:val="21"/>
        </w:rPr>
      </w:pPr>
      <w:r w:rsidRPr="0048441F">
        <w:rPr>
          <w:rFonts w:ascii="細明體" w:eastAsia="細明體" w:hAnsi="細明體" w:cs="Helvetica" w:hint="eastAsia"/>
          <w:color w:val="000000"/>
          <w:kern w:val="0"/>
          <w:sz w:val="21"/>
          <w:szCs w:val="21"/>
        </w:rPr>
        <w:t>直轄市、縣 (市) 、鄉 (鎮、市、區) 強迫入學委員會，每年至少開會二</w:t>
      </w:r>
      <w:r w:rsidRPr="0048441F">
        <w:rPr>
          <w:rFonts w:ascii="細明體" w:eastAsia="細明體" w:hAnsi="細明體" w:cs="Helvetica" w:hint="eastAsia"/>
          <w:color w:val="000000"/>
          <w:kern w:val="0"/>
          <w:sz w:val="21"/>
          <w:szCs w:val="21"/>
        </w:rPr>
        <w:br/>
        <w:t>次，由主任委員召集之。</w:t>
      </w:r>
    </w:p>
    <w:p w:rsidR="0048441F" w:rsidRPr="0048441F" w:rsidRDefault="0048441F" w:rsidP="0048441F">
      <w:pPr>
        <w:widowControl/>
        <w:shd w:val="clear" w:color="auto" w:fill="F5F5F5"/>
        <w:spacing w:line="408" w:lineRule="atLeast"/>
        <w:rPr>
          <w:rFonts w:ascii="細明體" w:eastAsia="細明體" w:hAnsi="細明體" w:cs="Helvetica" w:hint="eastAsia"/>
          <w:color w:val="000000"/>
          <w:kern w:val="0"/>
          <w:sz w:val="21"/>
          <w:szCs w:val="21"/>
        </w:rPr>
      </w:pPr>
      <w:hyperlink r:id="rId9" w:history="1">
        <w:r w:rsidRPr="0048441F">
          <w:rPr>
            <w:rFonts w:ascii="細明體" w:eastAsia="細明體" w:hAnsi="細明體" w:cs="Helvetica" w:hint="eastAsia"/>
            <w:color w:val="057B7B"/>
            <w:kern w:val="0"/>
            <w:sz w:val="21"/>
            <w:szCs w:val="21"/>
          </w:rPr>
          <w:t>第 6 條</w:t>
        </w:r>
      </w:hyperlink>
    </w:p>
    <w:p w:rsidR="0048441F" w:rsidRPr="0048441F" w:rsidRDefault="0048441F" w:rsidP="0048441F">
      <w:pPr>
        <w:widowControl/>
        <w:shd w:val="clear" w:color="auto" w:fill="F5F5F5"/>
        <w:spacing w:line="408" w:lineRule="atLeast"/>
        <w:rPr>
          <w:rFonts w:ascii="細明體" w:eastAsia="細明體" w:hAnsi="細明體" w:cs="Helvetica" w:hint="eastAsia"/>
          <w:color w:val="000000"/>
          <w:kern w:val="0"/>
          <w:sz w:val="21"/>
          <w:szCs w:val="21"/>
        </w:rPr>
      </w:pPr>
      <w:r w:rsidRPr="0048441F">
        <w:rPr>
          <w:rFonts w:ascii="細明體" w:eastAsia="細明體" w:hAnsi="細明體" w:cs="Helvetica" w:hint="eastAsia"/>
          <w:color w:val="000000"/>
          <w:kern w:val="0"/>
          <w:sz w:val="21"/>
          <w:szCs w:val="21"/>
        </w:rPr>
        <w:t>適齡國民之父母或監護人依本條例第六條規定，應辦理下列事項：</w:t>
      </w:r>
      <w:r w:rsidRPr="0048441F">
        <w:rPr>
          <w:rFonts w:ascii="細明體" w:eastAsia="細明體" w:hAnsi="細明體" w:cs="Helvetica" w:hint="eastAsia"/>
          <w:color w:val="000000"/>
          <w:kern w:val="0"/>
          <w:sz w:val="21"/>
          <w:szCs w:val="21"/>
        </w:rPr>
        <w:br/>
        <w:t>一、接到入學通知時，應於規定期限內，帶領子女或受監護人前往指定之</w:t>
      </w:r>
      <w:r w:rsidRPr="0048441F">
        <w:rPr>
          <w:rFonts w:ascii="細明體" w:eastAsia="細明體" w:hAnsi="細明體" w:cs="Helvetica" w:hint="eastAsia"/>
          <w:color w:val="000000"/>
          <w:kern w:val="0"/>
          <w:sz w:val="21"/>
          <w:szCs w:val="21"/>
        </w:rPr>
        <w:br/>
        <w:t>學校入學。</w:t>
      </w:r>
      <w:r w:rsidRPr="0048441F">
        <w:rPr>
          <w:rFonts w:ascii="細明體" w:eastAsia="細明體" w:hAnsi="細明體" w:cs="Helvetica" w:hint="eastAsia"/>
          <w:color w:val="000000"/>
          <w:kern w:val="0"/>
          <w:sz w:val="21"/>
          <w:szCs w:val="21"/>
        </w:rPr>
        <w:br/>
        <w:t>二、隨時督促已入學之子女或受監護人正常上學，並參與學校親職教育，</w:t>
      </w:r>
      <w:r w:rsidRPr="0048441F">
        <w:rPr>
          <w:rFonts w:ascii="細明體" w:eastAsia="細明體" w:hAnsi="細明體" w:cs="Helvetica" w:hint="eastAsia"/>
          <w:color w:val="000000"/>
          <w:kern w:val="0"/>
          <w:sz w:val="21"/>
          <w:szCs w:val="21"/>
        </w:rPr>
        <w:br/>
        <w:t>及密切聯繫配合學校實施生活、倫理與道德教育及其他家庭教育事項</w:t>
      </w:r>
      <w:r w:rsidRPr="0048441F">
        <w:rPr>
          <w:rFonts w:ascii="細明體" w:eastAsia="細明體" w:hAnsi="細明體" w:cs="Helvetica" w:hint="eastAsia"/>
          <w:color w:val="000000"/>
          <w:kern w:val="0"/>
          <w:sz w:val="21"/>
          <w:szCs w:val="21"/>
        </w:rPr>
        <w:br/>
        <w:t>。</w:t>
      </w:r>
    </w:p>
    <w:p w:rsidR="0048441F" w:rsidRPr="0048441F" w:rsidRDefault="0048441F" w:rsidP="0048441F">
      <w:pPr>
        <w:widowControl/>
        <w:shd w:val="clear" w:color="auto" w:fill="F5F5F5"/>
        <w:spacing w:line="408" w:lineRule="atLeast"/>
        <w:rPr>
          <w:rFonts w:ascii="細明體" w:eastAsia="細明體" w:hAnsi="細明體" w:cs="Helvetica" w:hint="eastAsia"/>
          <w:color w:val="000000"/>
          <w:kern w:val="0"/>
          <w:sz w:val="21"/>
          <w:szCs w:val="21"/>
        </w:rPr>
      </w:pPr>
      <w:hyperlink r:id="rId10" w:history="1">
        <w:r w:rsidRPr="0048441F">
          <w:rPr>
            <w:rFonts w:ascii="細明體" w:eastAsia="細明體" w:hAnsi="細明體" w:cs="Helvetica" w:hint="eastAsia"/>
            <w:color w:val="057B7B"/>
            <w:kern w:val="0"/>
            <w:sz w:val="21"/>
            <w:szCs w:val="21"/>
          </w:rPr>
          <w:t>第 7 條</w:t>
        </w:r>
      </w:hyperlink>
    </w:p>
    <w:p w:rsidR="0048441F" w:rsidRPr="0048441F" w:rsidRDefault="0048441F" w:rsidP="0048441F">
      <w:pPr>
        <w:widowControl/>
        <w:shd w:val="clear" w:color="auto" w:fill="F5F5F5"/>
        <w:spacing w:line="408" w:lineRule="atLeast"/>
        <w:rPr>
          <w:rFonts w:ascii="細明體" w:eastAsia="細明體" w:hAnsi="細明體" w:cs="Helvetica" w:hint="eastAsia"/>
          <w:color w:val="000000"/>
          <w:kern w:val="0"/>
          <w:sz w:val="21"/>
          <w:szCs w:val="21"/>
        </w:rPr>
      </w:pPr>
      <w:r w:rsidRPr="0048441F">
        <w:rPr>
          <w:rFonts w:ascii="細明體" w:eastAsia="細明體" w:hAnsi="細明體" w:cs="Helvetica" w:hint="eastAsia"/>
          <w:color w:val="000000"/>
          <w:kern w:val="0"/>
          <w:sz w:val="21"/>
          <w:szCs w:val="21"/>
        </w:rPr>
        <w:t>應入國民小學之適齡國民，漏列於戶政機關依本條例第七條第一項規定造</w:t>
      </w:r>
      <w:r w:rsidRPr="0048441F">
        <w:rPr>
          <w:rFonts w:ascii="細明體" w:eastAsia="細明體" w:hAnsi="細明體" w:cs="Helvetica" w:hint="eastAsia"/>
          <w:color w:val="000000"/>
          <w:kern w:val="0"/>
          <w:sz w:val="21"/>
          <w:szCs w:val="21"/>
        </w:rPr>
        <w:br/>
        <w:t>具之入學名冊者，父母或監護人應申請戶政</w:t>
      </w:r>
      <w:proofErr w:type="gramStart"/>
      <w:r w:rsidRPr="0048441F">
        <w:rPr>
          <w:rFonts w:ascii="細明體" w:eastAsia="細明體" w:hAnsi="細明體" w:cs="Helvetica" w:hint="eastAsia"/>
          <w:color w:val="000000"/>
          <w:kern w:val="0"/>
          <w:sz w:val="21"/>
          <w:szCs w:val="21"/>
        </w:rPr>
        <w:t>機關補列並</w:t>
      </w:r>
      <w:proofErr w:type="gramEnd"/>
      <w:r w:rsidRPr="0048441F">
        <w:rPr>
          <w:rFonts w:ascii="細明體" w:eastAsia="細明體" w:hAnsi="細明體" w:cs="Helvetica" w:hint="eastAsia"/>
          <w:color w:val="000000"/>
          <w:kern w:val="0"/>
          <w:sz w:val="21"/>
          <w:szCs w:val="21"/>
        </w:rPr>
        <w:t>送主管教育行政機</w:t>
      </w:r>
      <w:r w:rsidRPr="0048441F">
        <w:rPr>
          <w:rFonts w:ascii="細明體" w:eastAsia="細明體" w:hAnsi="細明體" w:cs="Helvetica" w:hint="eastAsia"/>
          <w:color w:val="000000"/>
          <w:kern w:val="0"/>
          <w:sz w:val="21"/>
          <w:szCs w:val="21"/>
        </w:rPr>
        <w:br/>
      </w:r>
      <w:proofErr w:type="gramStart"/>
      <w:r w:rsidRPr="0048441F">
        <w:rPr>
          <w:rFonts w:ascii="細明體" w:eastAsia="細明體" w:hAnsi="細明體" w:cs="Helvetica" w:hint="eastAsia"/>
          <w:color w:val="000000"/>
          <w:kern w:val="0"/>
          <w:sz w:val="21"/>
          <w:szCs w:val="21"/>
        </w:rPr>
        <w:t>關按學區</w:t>
      </w:r>
      <w:proofErr w:type="gramEnd"/>
      <w:r w:rsidRPr="0048441F">
        <w:rPr>
          <w:rFonts w:ascii="細明體" w:eastAsia="細明體" w:hAnsi="細明體" w:cs="Helvetica" w:hint="eastAsia"/>
          <w:color w:val="000000"/>
          <w:kern w:val="0"/>
          <w:sz w:val="21"/>
          <w:szCs w:val="21"/>
        </w:rPr>
        <w:t>分發。</w:t>
      </w:r>
      <w:r w:rsidRPr="0048441F">
        <w:rPr>
          <w:rFonts w:ascii="細明體" w:eastAsia="細明體" w:hAnsi="細明體" w:cs="Helvetica" w:hint="eastAsia"/>
          <w:color w:val="000000"/>
          <w:kern w:val="0"/>
          <w:sz w:val="21"/>
          <w:szCs w:val="21"/>
        </w:rPr>
        <w:br/>
      </w:r>
      <w:r w:rsidRPr="0048441F">
        <w:rPr>
          <w:rFonts w:ascii="細明體" w:eastAsia="細明體" w:hAnsi="細明體" w:cs="Helvetica" w:hint="eastAsia"/>
          <w:color w:val="000000"/>
          <w:kern w:val="0"/>
          <w:sz w:val="21"/>
          <w:szCs w:val="21"/>
        </w:rPr>
        <w:lastRenderedPageBreak/>
        <w:t>國民小學畢業應入國民中學之適齡國民，漏列於學校依本條例第八條規定</w:t>
      </w:r>
      <w:r w:rsidRPr="0048441F">
        <w:rPr>
          <w:rFonts w:ascii="細明體" w:eastAsia="細明體" w:hAnsi="細明體" w:cs="Helvetica" w:hint="eastAsia"/>
          <w:color w:val="000000"/>
          <w:kern w:val="0"/>
          <w:sz w:val="21"/>
          <w:szCs w:val="21"/>
        </w:rPr>
        <w:br/>
        <w:t>造具之畢業生名冊者，父母或監護人應申請主管教育行政機關分發入學。</w:t>
      </w:r>
    </w:p>
    <w:p w:rsidR="0048441F" w:rsidRPr="0048441F" w:rsidRDefault="0048441F" w:rsidP="0048441F">
      <w:pPr>
        <w:widowControl/>
        <w:shd w:val="clear" w:color="auto" w:fill="F5F5F5"/>
        <w:spacing w:line="408" w:lineRule="atLeast"/>
        <w:rPr>
          <w:rFonts w:ascii="細明體" w:eastAsia="細明體" w:hAnsi="細明體" w:cs="Helvetica" w:hint="eastAsia"/>
          <w:color w:val="000000"/>
          <w:kern w:val="0"/>
          <w:sz w:val="21"/>
          <w:szCs w:val="21"/>
        </w:rPr>
      </w:pPr>
      <w:hyperlink r:id="rId11" w:history="1">
        <w:r w:rsidRPr="0048441F">
          <w:rPr>
            <w:rFonts w:ascii="細明體" w:eastAsia="細明體" w:hAnsi="細明體" w:cs="Helvetica" w:hint="eastAsia"/>
            <w:color w:val="057B7B"/>
            <w:kern w:val="0"/>
            <w:sz w:val="21"/>
            <w:szCs w:val="21"/>
          </w:rPr>
          <w:t>第 8 條</w:t>
        </w:r>
      </w:hyperlink>
    </w:p>
    <w:p w:rsidR="0048441F" w:rsidRPr="0048441F" w:rsidRDefault="0048441F" w:rsidP="0048441F">
      <w:pPr>
        <w:widowControl/>
        <w:shd w:val="clear" w:color="auto" w:fill="F5F5F5"/>
        <w:spacing w:line="408" w:lineRule="atLeast"/>
        <w:rPr>
          <w:rFonts w:ascii="細明體" w:eastAsia="細明體" w:hAnsi="細明體" w:cs="Helvetica" w:hint="eastAsia"/>
          <w:color w:val="000000"/>
          <w:kern w:val="0"/>
          <w:sz w:val="21"/>
          <w:szCs w:val="21"/>
        </w:rPr>
      </w:pPr>
      <w:r w:rsidRPr="0048441F">
        <w:rPr>
          <w:rFonts w:ascii="細明體" w:eastAsia="細明體" w:hAnsi="細明體" w:cs="Helvetica" w:hint="eastAsia"/>
          <w:color w:val="000000"/>
          <w:kern w:val="0"/>
          <w:sz w:val="21"/>
          <w:szCs w:val="21"/>
        </w:rPr>
        <w:t>本條例第九條第一項所稱長期缺課，指全學期累計達七日以上，未經請假</w:t>
      </w:r>
      <w:r w:rsidRPr="0048441F">
        <w:rPr>
          <w:rFonts w:ascii="細明體" w:eastAsia="細明體" w:hAnsi="細明體" w:cs="Helvetica" w:hint="eastAsia"/>
          <w:color w:val="000000"/>
          <w:kern w:val="0"/>
          <w:sz w:val="21"/>
          <w:szCs w:val="21"/>
        </w:rPr>
        <w:br/>
        <w:t>而無故缺課者。</w:t>
      </w:r>
    </w:p>
    <w:p w:rsidR="0048441F" w:rsidRPr="0048441F" w:rsidRDefault="0048441F" w:rsidP="0048441F">
      <w:pPr>
        <w:widowControl/>
        <w:shd w:val="clear" w:color="auto" w:fill="F5F5F5"/>
        <w:spacing w:line="408" w:lineRule="atLeast"/>
        <w:rPr>
          <w:rFonts w:ascii="細明體" w:eastAsia="細明體" w:hAnsi="細明體" w:cs="Helvetica" w:hint="eastAsia"/>
          <w:color w:val="000000"/>
          <w:kern w:val="0"/>
          <w:sz w:val="21"/>
          <w:szCs w:val="21"/>
        </w:rPr>
      </w:pPr>
      <w:hyperlink r:id="rId12" w:history="1">
        <w:r w:rsidRPr="0048441F">
          <w:rPr>
            <w:rFonts w:ascii="細明體" w:eastAsia="細明體" w:hAnsi="細明體" w:cs="Helvetica" w:hint="eastAsia"/>
            <w:color w:val="057B7B"/>
            <w:kern w:val="0"/>
            <w:sz w:val="21"/>
            <w:szCs w:val="21"/>
          </w:rPr>
          <w:t>第 9 條</w:t>
        </w:r>
      </w:hyperlink>
    </w:p>
    <w:p w:rsidR="0048441F" w:rsidRPr="0048441F" w:rsidRDefault="0048441F" w:rsidP="0048441F">
      <w:pPr>
        <w:widowControl/>
        <w:shd w:val="clear" w:color="auto" w:fill="F5F5F5"/>
        <w:spacing w:line="408" w:lineRule="atLeast"/>
        <w:rPr>
          <w:rFonts w:ascii="細明體" w:eastAsia="細明體" w:hAnsi="細明體" w:cs="Helvetica" w:hint="eastAsia"/>
          <w:color w:val="000000"/>
          <w:kern w:val="0"/>
          <w:sz w:val="21"/>
          <w:szCs w:val="21"/>
        </w:rPr>
      </w:pPr>
      <w:r w:rsidRPr="0048441F">
        <w:rPr>
          <w:rFonts w:ascii="細明體" w:eastAsia="細明體" w:hAnsi="細明體" w:cs="Helvetica" w:hint="eastAsia"/>
          <w:color w:val="000000"/>
          <w:kern w:val="0"/>
          <w:sz w:val="21"/>
          <w:szCs w:val="21"/>
        </w:rPr>
        <w:t>適齡國民依本條例第十二條或第十三條規定經核定暫緩入學或因其他原因</w:t>
      </w:r>
      <w:r w:rsidRPr="0048441F">
        <w:rPr>
          <w:rFonts w:ascii="細明體" w:eastAsia="細明體" w:hAnsi="細明體" w:cs="Helvetica" w:hint="eastAsia"/>
          <w:color w:val="000000"/>
          <w:kern w:val="0"/>
          <w:sz w:val="21"/>
          <w:szCs w:val="21"/>
        </w:rPr>
        <w:br/>
        <w:t>未能適時入學，於其原因消滅申請入學時，未滿十五歲者，得由學校以</w:t>
      </w:r>
      <w:proofErr w:type="gramStart"/>
      <w:r w:rsidRPr="0048441F">
        <w:rPr>
          <w:rFonts w:ascii="細明體" w:eastAsia="細明體" w:hAnsi="細明體" w:cs="Helvetica" w:hint="eastAsia"/>
          <w:color w:val="000000"/>
          <w:kern w:val="0"/>
          <w:sz w:val="21"/>
          <w:szCs w:val="21"/>
        </w:rPr>
        <w:t>甄</w:t>
      </w:r>
      <w:proofErr w:type="gramEnd"/>
      <w:r w:rsidRPr="0048441F">
        <w:rPr>
          <w:rFonts w:ascii="細明體" w:eastAsia="細明體" w:hAnsi="細明體" w:cs="Helvetica" w:hint="eastAsia"/>
          <w:color w:val="000000"/>
          <w:kern w:val="0"/>
          <w:sz w:val="21"/>
          <w:szCs w:val="21"/>
        </w:rPr>
        <w:br/>
        <w:t>試方式編入或經直轄市及縣 (市) 主管教育行政機關特殊教育學生鑑定及</w:t>
      </w:r>
      <w:r w:rsidRPr="0048441F">
        <w:rPr>
          <w:rFonts w:ascii="細明體" w:eastAsia="細明體" w:hAnsi="細明體" w:cs="Helvetica" w:hint="eastAsia"/>
          <w:color w:val="000000"/>
          <w:kern w:val="0"/>
          <w:sz w:val="21"/>
          <w:szCs w:val="21"/>
        </w:rPr>
        <w:br/>
        <w:t>就學輔導委員會鑑定安置於適當年級就讀。</w:t>
      </w:r>
    </w:p>
    <w:p w:rsidR="0048441F" w:rsidRPr="0048441F" w:rsidRDefault="0048441F" w:rsidP="0048441F">
      <w:pPr>
        <w:widowControl/>
        <w:shd w:val="clear" w:color="auto" w:fill="F5F5F5"/>
        <w:spacing w:line="408" w:lineRule="atLeast"/>
        <w:rPr>
          <w:rFonts w:ascii="細明體" w:eastAsia="細明體" w:hAnsi="細明體" w:cs="Helvetica" w:hint="eastAsia"/>
          <w:color w:val="000000"/>
          <w:kern w:val="0"/>
          <w:sz w:val="21"/>
          <w:szCs w:val="21"/>
        </w:rPr>
      </w:pPr>
      <w:hyperlink r:id="rId13" w:history="1">
        <w:r w:rsidRPr="0048441F">
          <w:rPr>
            <w:rFonts w:ascii="細明體" w:eastAsia="細明體" w:hAnsi="細明體" w:cs="Helvetica" w:hint="eastAsia"/>
            <w:color w:val="057B7B"/>
            <w:kern w:val="0"/>
            <w:sz w:val="21"/>
            <w:szCs w:val="21"/>
          </w:rPr>
          <w:t>第 10 條</w:t>
        </w:r>
      </w:hyperlink>
    </w:p>
    <w:p w:rsidR="0048441F" w:rsidRPr="0048441F" w:rsidRDefault="0048441F" w:rsidP="0048441F">
      <w:pPr>
        <w:widowControl/>
        <w:shd w:val="clear" w:color="auto" w:fill="F5F5F5"/>
        <w:spacing w:line="408" w:lineRule="atLeast"/>
        <w:rPr>
          <w:rFonts w:ascii="細明體" w:eastAsia="細明體" w:hAnsi="細明體" w:cs="Helvetica" w:hint="eastAsia"/>
          <w:color w:val="000000"/>
          <w:kern w:val="0"/>
          <w:sz w:val="21"/>
          <w:szCs w:val="21"/>
        </w:rPr>
      </w:pPr>
      <w:r w:rsidRPr="0048441F">
        <w:rPr>
          <w:rFonts w:ascii="細明體" w:eastAsia="細明體" w:hAnsi="細明體" w:cs="Helvetica" w:hint="eastAsia"/>
          <w:color w:val="000000"/>
          <w:kern w:val="0"/>
          <w:sz w:val="21"/>
          <w:szCs w:val="21"/>
        </w:rPr>
        <w:t>學校依本條例第十四條規定提供膳宿設備，得報請直轄市、縣 (市) 政府</w:t>
      </w:r>
      <w:r w:rsidRPr="0048441F">
        <w:rPr>
          <w:rFonts w:ascii="細明體" w:eastAsia="細明體" w:hAnsi="細明體" w:cs="Helvetica" w:hint="eastAsia"/>
          <w:color w:val="000000"/>
          <w:kern w:val="0"/>
          <w:sz w:val="21"/>
          <w:szCs w:val="21"/>
        </w:rPr>
        <w:br/>
        <w:t>視實際需要興建學生宿舍，免費提供住宿。</w:t>
      </w:r>
    </w:p>
    <w:p w:rsidR="0048441F" w:rsidRPr="0048441F" w:rsidRDefault="0048441F" w:rsidP="0048441F">
      <w:pPr>
        <w:widowControl/>
        <w:shd w:val="clear" w:color="auto" w:fill="F5F5F5"/>
        <w:spacing w:line="408" w:lineRule="atLeast"/>
        <w:rPr>
          <w:rFonts w:ascii="細明體" w:eastAsia="細明體" w:hAnsi="細明體" w:cs="Helvetica" w:hint="eastAsia"/>
          <w:color w:val="000000"/>
          <w:kern w:val="0"/>
          <w:sz w:val="21"/>
          <w:szCs w:val="21"/>
        </w:rPr>
      </w:pPr>
      <w:hyperlink r:id="rId14" w:history="1">
        <w:r w:rsidRPr="0048441F">
          <w:rPr>
            <w:rFonts w:ascii="細明體" w:eastAsia="細明體" w:hAnsi="細明體" w:cs="Helvetica" w:hint="eastAsia"/>
            <w:color w:val="057B7B"/>
            <w:kern w:val="0"/>
            <w:sz w:val="21"/>
            <w:szCs w:val="21"/>
          </w:rPr>
          <w:t>第 11 條</w:t>
        </w:r>
      </w:hyperlink>
    </w:p>
    <w:p w:rsidR="0048441F" w:rsidRPr="0048441F" w:rsidRDefault="0048441F" w:rsidP="0048441F">
      <w:pPr>
        <w:widowControl/>
        <w:shd w:val="clear" w:color="auto" w:fill="F5F5F5"/>
        <w:spacing w:line="408" w:lineRule="atLeast"/>
        <w:rPr>
          <w:rFonts w:ascii="細明體" w:eastAsia="細明體" w:hAnsi="細明體" w:cs="Helvetica" w:hint="eastAsia"/>
          <w:color w:val="000000"/>
          <w:kern w:val="0"/>
          <w:sz w:val="21"/>
          <w:szCs w:val="21"/>
        </w:rPr>
      </w:pPr>
      <w:r w:rsidRPr="0048441F">
        <w:rPr>
          <w:rFonts w:ascii="細明體" w:eastAsia="細明體" w:hAnsi="細明體" w:cs="Helvetica" w:hint="eastAsia"/>
          <w:color w:val="000000"/>
          <w:kern w:val="0"/>
          <w:sz w:val="21"/>
          <w:szCs w:val="21"/>
        </w:rPr>
        <w:t>鄉 (鎮、市、區) 強迫入學委員會接獲戶政機關依本條例第十五條之通知</w:t>
      </w:r>
      <w:r w:rsidRPr="0048441F">
        <w:rPr>
          <w:rFonts w:ascii="細明體" w:eastAsia="細明體" w:hAnsi="細明體" w:cs="Helvetica" w:hint="eastAsia"/>
          <w:color w:val="000000"/>
          <w:kern w:val="0"/>
          <w:sz w:val="21"/>
          <w:szCs w:val="21"/>
        </w:rPr>
        <w:br/>
        <w:t>後，應向該學區之學校查詢學生入學或轉學情形，發現未辦入學或轉學者</w:t>
      </w:r>
      <w:r w:rsidRPr="0048441F">
        <w:rPr>
          <w:rFonts w:ascii="細明體" w:eastAsia="細明體" w:hAnsi="細明體" w:cs="Helvetica" w:hint="eastAsia"/>
          <w:color w:val="000000"/>
          <w:kern w:val="0"/>
          <w:sz w:val="21"/>
          <w:szCs w:val="21"/>
        </w:rPr>
        <w:br/>
        <w:t>，應依本條例之規定，執行強迫入學或轉學。</w:t>
      </w:r>
    </w:p>
    <w:p w:rsidR="0048441F" w:rsidRPr="0048441F" w:rsidRDefault="0048441F" w:rsidP="0048441F">
      <w:pPr>
        <w:widowControl/>
        <w:shd w:val="clear" w:color="auto" w:fill="F5F5F5"/>
        <w:spacing w:line="408" w:lineRule="atLeast"/>
        <w:rPr>
          <w:rFonts w:ascii="細明體" w:eastAsia="細明體" w:hAnsi="細明體" w:cs="Helvetica" w:hint="eastAsia"/>
          <w:color w:val="000000"/>
          <w:kern w:val="0"/>
          <w:sz w:val="21"/>
          <w:szCs w:val="21"/>
        </w:rPr>
      </w:pPr>
      <w:hyperlink r:id="rId15" w:history="1">
        <w:r w:rsidRPr="0048441F">
          <w:rPr>
            <w:rFonts w:ascii="細明體" w:eastAsia="細明體" w:hAnsi="細明體" w:cs="Helvetica" w:hint="eastAsia"/>
            <w:color w:val="057B7B"/>
            <w:kern w:val="0"/>
            <w:sz w:val="21"/>
            <w:szCs w:val="21"/>
          </w:rPr>
          <w:t>第 12 條</w:t>
        </w:r>
      </w:hyperlink>
    </w:p>
    <w:p w:rsidR="0048441F" w:rsidRPr="0048441F" w:rsidRDefault="0048441F" w:rsidP="0048441F">
      <w:pPr>
        <w:widowControl/>
        <w:shd w:val="clear" w:color="auto" w:fill="F5F5F5"/>
        <w:spacing w:line="408" w:lineRule="atLeast"/>
        <w:rPr>
          <w:rFonts w:ascii="細明體" w:eastAsia="細明體" w:hAnsi="細明體" w:cs="Helvetica" w:hint="eastAsia"/>
          <w:color w:val="000000"/>
          <w:kern w:val="0"/>
          <w:sz w:val="21"/>
          <w:szCs w:val="21"/>
        </w:rPr>
      </w:pPr>
      <w:r w:rsidRPr="0048441F">
        <w:rPr>
          <w:rFonts w:ascii="細明體" w:eastAsia="細明體" w:hAnsi="細明體" w:cs="Helvetica" w:hint="eastAsia"/>
          <w:color w:val="000000"/>
          <w:kern w:val="0"/>
          <w:sz w:val="21"/>
          <w:szCs w:val="21"/>
        </w:rPr>
        <w:t>本細則自發布日施行。</w:t>
      </w:r>
    </w:p>
    <w:p w:rsidR="0048441F" w:rsidRPr="0048441F" w:rsidRDefault="0048441F" w:rsidP="0048441F">
      <w:pPr>
        <w:widowControl/>
        <w:shd w:val="clear" w:color="auto" w:fill="F5F5F5"/>
        <w:spacing w:line="408" w:lineRule="atLeast"/>
        <w:rPr>
          <w:rFonts w:ascii="細明體" w:eastAsia="細明體" w:hAnsi="細明體" w:cs="Helvetica" w:hint="eastAsia"/>
          <w:color w:val="000000"/>
          <w:kern w:val="0"/>
          <w:sz w:val="40"/>
          <w:szCs w:val="40"/>
        </w:rPr>
      </w:pPr>
    </w:p>
    <w:p w:rsidR="005C5F12" w:rsidRDefault="005C5F12"/>
    <w:sectPr w:rsidR="005C5F1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1F"/>
    <w:rsid w:val="0048441F"/>
    <w:rsid w:val="005C5F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41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441F"/>
    <w:rPr>
      <w:strike w:val="0"/>
      <w:dstrike w:val="0"/>
      <w:color w:val="057B7B"/>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41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441F"/>
    <w:rPr>
      <w:strike w:val="0"/>
      <w:dstrike w:val="0"/>
      <w:color w:val="057B7B"/>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438">
      <w:bodyDiv w:val="1"/>
      <w:marLeft w:val="0"/>
      <w:marRight w:val="0"/>
      <w:marTop w:val="0"/>
      <w:marBottom w:val="0"/>
      <w:divBdr>
        <w:top w:val="none" w:sz="0" w:space="0" w:color="auto"/>
        <w:left w:val="none" w:sz="0" w:space="0" w:color="auto"/>
        <w:bottom w:val="none" w:sz="0" w:space="0" w:color="auto"/>
        <w:right w:val="none" w:sz="0" w:space="0" w:color="auto"/>
      </w:divBdr>
      <w:divsChild>
        <w:div w:id="1439567416">
          <w:marLeft w:val="0"/>
          <w:marRight w:val="0"/>
          <w:marTop w:val="0"/>
          <w:marBottom w:val="0"/>
          <w:divBdr>
            <w:top w:val="none" w:sz="0" w:space="0" w:color="auto"/>
            <w:left w:val="none" w:sz="0" w:space="0" w:color="auto"/>
            <w:bottom w:val="none" w:sz="0" w:space="0" w:color="auto"/>
            <w:right w:val="none" w:sz="0" w:space="0" w:color="auto"/>
          </w:divBdr>
          <w:divsChild>
            <w:div w:id="1081029938">
              <w:marLeft w:val="0"/>
              <w:marRight w:val="0"/>
              <w:marTop w:val="0"/>
              <w:marBottom w:val="0"/>
              <w:divBdr>
                <w:top w:val="none" w:sz="0" w:space="0" w:color="auto"/>
                <w:left w:val="none" w:sz="0" w:space="0" w:color="auto"/>
                <w:bottom w:val="none" w:sz="0" w:space="0" w:color="auto"/>
                <w:right w:val="none" w:sz="0" w:space="0" w:color="auto"/>
              </w:divBdr>
              <w:divsChild>
                <w:div w:id="152456709">
                  <w:marLeft w:val="0"/>
                  <w:marRight w:val="0"/>
                  <w:marTop w:val="0"/>
                  <w:marBottom w:val="0"/>
                  <w:divBdr>
                    <w:top w:val="none" w:sz="0" w:space="0" w:color="auto"/>
                    <w:left w:val="none" w:sz="0" w:space="0" w:color="auto"/>
                    <w:bottom w:val="none" w:sz="0" w:space="0" w:color="auto"/>
                    <w:right w:val="none" w:sz="0" w:space="0" w:color="auto"/>
                  </w:divBdr>
                  <w:divsChild>
                    <w:div w:id="239564338">
                      <w:marLeft w:val="0"/>
                      <w:marRight w:val="0"/>
                      <w:marTop w:val="0"/>
                      <w:marBottom w:val="300"/>
                      <w:divBdr>
                        <w:top w:val="none" w:sz="0" w:space="0" w:color="auto"/>
                        <w:left w:val="none" w:sz="0" w:space="0" w:color="auto"/>
                        <w:bottom w:val="none" w:sz="0" w:space="0" w:color="auto"/>
                        <w:right w:val="none" w:sz="0" w:space="0" w:color="auto"/>
                      </w:divBdr>
                      <w:divsChild>
                        <w:div w:id="1752239812">
                          <w:marLeft w:val="0"/>
                          <w:marRight w:val="0"/>
                          <w:marTop w:val="100"/>
                          <w:marBottom w:val="100"/>
                          <w:divBdr>
                            <w:top w:val="none" w:sz="0" w:space="0" w:color="auto"/>
                            <w:left w:val="none" w:sz="0" w:space="0" w:color="auto"/>
                            <w:bottom w:val="none" w:sz="0" w:space="0" w:color="auto"/>
                            <w:right w:val="none" w:sz="0" w:space="0" w:color="auto"/>
                          </w:divBdr>
                          <w:divsChild>
                            <w:div w:id="1884292622">
                              <w:marLeft w:val="-225"/>
                              <w:marRight w:val="-225"/>
                              <w:marTop w:val="0"/>
                              <w:marBottom w:val="0"/>
                              <w:divBdr>
                                <w:top w:val="none" w:sz="0" w:space="0" w:color="auto"/>
                                <w:left w:val="none" w:sz="0" w:space="0" w:color="auto"/>
                                <w:bottom w:val="none" w:sz="0" w:space="0" w:color="auto"/>
                                <w:right w:val="none" w:sz="0" w:space="0" w:color="auto"/>
                              </w:divBdr>
                              <w:divsChild>
                                <w:div w:id="1298947244">
                                  <w:marLeft w:val="0"/>
                                  <w:marRight w:val="0"/>
                                  <w:marTop w:val="0"/>
                                  <w:marBottom w:val="0"/>
                                  <w:divBdr>
                                    <w:top w:val="none" w:sz="0" w:space="0" w:color="auto"/>
                                    <w:left w:val="none" w:sz="0" w:space="0" w:color="auto"/>
                                    <w:bottom w:val="none" w:sz="0" w:space="0" w:color="auto"/>
                                    <w:right w:val="none" w:sz="0" w:space="0" w:color="auto"/>
                                  </w:divBdr>
                                </w:div>
                                <w:div w:id="1357656747">
                                  <w:marLeft w:val="0"/>
                                  <w:marRight w:val="0"/>
                                  <w:marTop w:val="0"/>
                                  <w:marBottom w:val="0"/>
                                  <w:divBdr>
                                    <w:top w:val="none" w:sz="0" w:space="0" w:color="auto"/>
                                    <w:left w:val="none" w:sz="0" w:space="0" w:color="auto"/>
                                    <w:bottom w:val="none" w:sz="0" w:space="0" w:color="auto"/>
                                    <w:right w:val="none" w:sz="0" w:space="0" w:color="auto"/>
                                  </w:divBdr>
                                </w:div>
                              </w:divsChild>
                            </w:div>
                            <w:div w:id="1556236558">
                              <w:marLeft w:val="-225"/>
                              <w:marRight w:val="-225"/>
                              <w:marTop w:val="0"/>
                              <w:marBottom w:val="0"/>
                              <w:divBdr>
                                <w:top w:val="none" w:sz="0" w:space="0" w:color="auto"/>
                                <w:left w:val="none" w:sz="0" w:space="0" w:color="auto"/>
                                <w:bottom w:val="none" w:sz="0" w:space="0" w:color="auto"/>
                                <w:right w:val="none" w:sz="0" w:space="0" w:color="auto"/>
                              </w:divBdr>
                              <w:divsChild>
                                <w:div w:id="1670517345">
                                  <w:marLeft w:val="0"/>
                                  <w:marRight w:val="0"/>
                                  <w:marTop w:val="0"/>
                                  <w:marBottom w:val="0"/>
                                  <w:divBdr>
                                    <w:top w:val="none" w:sz="0" w:space="0" w:color="auto"/>
                                    <w:left w:val="none" w:sz="0" w:space="0" w:color="auto"/>
                                    <w:bottom w:val="none" w:sz="0" w:space="0" w:color="auto"/>
                                    <w:right w:val="none" w:sz="0" w:space="0" w:color="auto"/>
                                  </w:divBdr>
                                </w:div>
                                <w:div w:id="303510908">
                                  <w:marLeft w:val="0"/>
                                  <w:marRight w:val="0"/>
                                  <w:marTop w:val="0"/>
                                  <w:marBottom w:val="0"/>
                                  <w:divBdr>
                                    <w:top w:val="none" w:sz="0" w:space="0" w:color="auto"/>
                                    <w:left w:val="none" w:sz="0" w:space="0" w:color="auto"/>
                                    <w:bottom w:val="none" w:sz="0" w:space="0" w:color="auto"/>
                                    <w:right w:val="none" w:sz="0" w:space="0" w:color="auto"/>
                                  </w:divBdr>
                                </w:div>
                              </w:divsChild>
                            </w:div>
                            <w:div w:id="2033453692">
                              <w:marLeft w:val="-225"/>
                              <w:marRight w:val="-225"/>
                              <w:marTop w:val="0"/>
                              <w:marBottom w:val="0"/>
                              <w:divBdr>
                                <w:top w:val="none" w:sz="0" w:space="0" w:color="auto"/>
                                <w:left w:val="none" w:sz="0" w:space="0" w:color="auto"/>
                                <w:bottom w:val="none" w:sz="0" w:space="0" w:color="auto"/>
                                <w:right w:val="none" w:sz="0" w:space="0" w:color="auto"/>
                              </w:divBdr>
                              <w:divsChild>
                                <w:div w:id="786236184">
                                  <w:marLeft w:val="0"/>
                                  <w:marRight w:val="0"/>
                                  <w:marTop w:val="0"/>
                                  <w:marBottom w:val="0"/>
                                  <w:divBdr>
                                    <w:top w:val="none" w:sz="0" w:space="0" w:color="auto"/>
                                    <w:left w:val="none" w:sz="0" w:space="0" w:color="auto"/>
                                    <w:bottom w:val="none" w:sz="0" w:space="0" w:color="auto"/>
                                    <w:right w:val="none" w:sz="0" w:space="0" w:color="auto"/>
                                  </w:divBdr>
                                </w:div>
                                <w:div w:id="1152451200">
                                  <w:marLeft w:val="0"/>
                                  <w:marRight w:val="0"/>
                                  <w:marTop w:val="0"/>
                                  <w:marBottom w:val="0"/>
                                  <w:divBdr>
                                    <w:top w:val="none" w:sz="0" w:space="0" w:color="auto"/>
                                    <w:left w:val="none" w:sz="0" w:space="0" w:color="auto"/>
                                    <w:bottom w:val="none" w:sz="0" w:space="0" w:color="auto"/>
                                    <w:right w:val="none" w:sz="0" w:space="0" w:color="auto"/>
                                  </w:divBdr>
                                </w:div>
                              </w:divsChild>
                            </w:div>
                            <w:div w:id="534008419">
                              <w:marLeft w:val="-225"/>
                              <w:marRight w:val="-225"/>
                              <w:marTop w:val="0"/>
                              <w:marBottom w:val="0"/>
                              <w:divBdr>
                                <w:top w:val="none" w:sz="0" w:space="0" w:color="auto"/>
                                <w:left w:val="none" w:sz="0" w:space="0" w:color="auto"/>
                                <w:bottom w:val="none" w:sz="0" w:space="0" w:color="auto"/>
                                <w:right w:val="none" w:sz="0" w:space="0" w:color="auto"/>
                              </w:divBdr>
                              <w:divsChild>
                                <w:div w:id="1062295918">
                                  <w:marLeft w:val="0"/>
                                  <w:marRight w:val="0"/>
                                  <w:marTop w:val="0"/>
                                  <w:marBottom w:val="0"/>
                                  <w:divBdr>
                                    <w:top w:val="none" w:sz="0" w:space="0" w:color="auto"/>
                                    <w:left w:val="none" w:sz="0" w:space="0" w:color="auto"/>
                                    <w:bottom w:val="none" w:sz="0" w:space="0" w:color="auto"/>
                                    <w:right w:val="none" w:sz="0" w:space="0" w:color="auto"/>
                                  </w:divBdr>
                                </w:div>
                                <w:div w:id="1767653658">
                                  <w:marLeft w:val="0"/>
                                  <w:marRight w:val="0"/>
                                  <w:marTop w:val="0"/>
                                  <w:marBottom w:val="0"/>
                                  <w:divBdr>
                                    <w:top w:val="none" w:sz="0" w:space="0" w:color="auto"/>
                                    <w:left w:val="none" w:sz="0" w:space="0" w:color="auto"/>
                                    <w:bottom w:val="none" w:sz="0" w:space="0" w:color="auto"/>
                                    <w:right w:val="none" w:sz="0" w:space="0" w:color="auto"/>
                                  </w:divBdr>
                                </w:div>
                              </w:divsChild>
                            </w:div>
                            <w:div w:id="414284502">
                              <w:marLeft w:val="-225"/>
                              <w:marRight w:val="-225"/>
                              <w:marTop w:val="0"/>
                              <w:marBottom w:val="0"/>
                              <w:divBdr>
                                <w:top w:val="none" w:sz="0" w:space="0" w:color="auto"/>
                                <w:left w:val="none" w:sz="0" w:space="0" w:color="auto"/>
                                <w:bottom w:val="none" w:sz="0" w:space="0" w:color="auto"/>
                                <w:right w:val="none" w:sz="0" w:space="0" w:color="auto"/>
                              </w:divBdr>
                              <w:divsChild>
                                <w:div w:id="870874461">
                                  <w:marLeft w:val="0"/>
                                  <w:marRight w:val="0"/>
                                  <w:marTop w:val="0"/>
                                  <w:marBottom w:val="0"/>
                                  <w:divBdr>
                                    <w:top w:val="none" w:sz="0" w:space="0" w:color="auto"/>
                                    <w:left w:val="none" w:sz="0" w:space="0" w:color="auto"/>
                                    <w:bottom w:val="none" w:sz="0" w:space="0" w:color="auto"/>
                                    <w:right w:val="none" w:sz="0" w:space="0" w:color="auto"/>
                                  </w:divBdr>
                                </w:div>
                                <w:div w:id="45688131">
                                  <w:marLeft w:val="0"/>
                                  <w:marRight w:val="0"/>
                                  <w:marTop w:val="0"/>
                                  <w:marBottom w:val="0"/>
                                  <w:divBdr>
                                    <w:top w:val="none" w:sz="0" w:space="0" w:color="auto"/>
                                    <w:left w:val="none" w:sz="0" w:space="0" w:color="auto"/>
                                    <w:bottom w:val="none" w:sz="0" w:space="0" w:color="auto"/>
                                    <w:right w:val="none" w:sz="0" w:space="0" w:color="auto"/>
                                  </w:divBdr>
                                </w:div>
                              </w:divsChild>
                            </w:div>
                            <w:div w:id="417216596">
                              <w:marLeft w:val="-225"/>
                              <w:marRight w:val="-225"/>
                              <w:marTop w:val="0"/>
                              <w:marBottom w:val="0"/>
                              <w:divBdr>
                                <w:top w:val="none" w:sz="0" w:space="0" w:color="auto"/>
                                <w:left w:val="none" w:sz="0" w:space="0" w:color="auto"/>
                                <w:bottom w:val="none" w:sz="0" w:space="0" w:color="auto"/>
                                <w:right w:val="none" w:sz="0" w:space="0" w:color="auto"/>
                              </w:divBdr>
                              <w:divsChild>
                                <w:div w:id="2101444118">
                                  <w:marLeft w:val="0"/>
                                  <w:marRight w:val="0"/>
                                  <w:marTop w:val="0"/>
                                  <w:marBottom w:val="0"/>
                                  <w:divBdr>
                                    <w:top w:val="none" w:sz="0" w:space="0" w:color="auto"/>
                                    <w:left w:val="none" w:sz="0" w:space="0" w:color="auto"/>
                                    <w:bottom w:val="none" w:sz="0" w:space="0" w:color="auto"/>
                                    <w:right w:val="none" w:sz="0" w:space="0" w:color="auto"/>
                                  </w:divBdr>
                                </w:div>
                                <w:div w:id="875897832">
                                  <w:marLeft w:val="0"/>
                                  <w:marRight w:val="0"/>
                                  <w:marTop w:val="0"/>
                                  <w:marBottom w:val="0"/>
                                  <w:divBdr>
                                    <w:top w:val="none" w:sz="0" w:space="0" w:color="auto"/>
                                    <w:left w:val="none" w:sz="0" w:space="0" w:color="auto"/>
                                    <w:bottom w:val="none" w:sz="0" w:space="0" w:color="auto"/>
                                    <w:right w:val="none" w:sz="0" w:space="0" w:color="auto"/>
                                  </w:divBdr>
                                </w:div>
                              </w:divsChild>
                            </w:div>
                            <w:div w:id="761606079">
                              <w:marLeft w:val="-225"/>
                              <w:marRight w:val="-225"/>
                              <w:marTop w:val="0"/>
                              <w:marBottom w:val="0"/>
                              <w:divBdr>
                                <w:top w:val="none" w:sz="0" w:space="0" w:color="auto"/>
                                <w:left w:val="none" w:sz="0" w:space="0" w:color="auto"/>
                                <w:bottom w:val="none" w:sz="0" w:space="0" w:color="auto"/>
                                <w:right w:val="none" w:sz="0" w:space="0" w:color="auto"/>
                              </w:divBdr>
                              <w:divsChild>
                                <w:div w:id="385027522">
                                  <w:marLeft w:val="0"/>
                                  <w:marRight w:val="0"/>
                                  <w:marTop w:val="0"/>
                                  <w:marBottom w:val="0"/>
                                  <w:divBdr>
                                    <w:top w:val="none" w:sz="0" w:space="0" w:color="auto"/>
                                    <w:left w:val="none" w:sz="0" w:space="0" w:color="auto"/>
                                    <w:bottom w:val="none" w:sz="0" w:space="0" w:color="auto"/>
                                    <w:right w:val="none" w:sz="0" w:space="0" w:color="auto"/>
                                  </w:divBdr>
                                </w:div>
                                <w:div w:id="1725641182">
                                  <w:marLeft w:val="0"/>
                                  <w:marRight w:val="0"/>
                                  <w:marTop w:val="0"/>
                                  <w:marBottom w:val="0"/>
                                  <w:divBdr>
                                    <w:top w:val="none" w:sz="0" w:space="0" w:color="auto"/>
                                    <w:left w:val="none" w:sz="0" w:space="0" w:color="auto"/>
                                    <w:bottom w:val="none" w:sz="0" w:space="0" w:color="auto"/>
                                    <w:right w:val="none" w:sz="0" w:space="0" w:color="auto"/>
                                  </w:divBdr>
                                </w:div>
                              </w:divsChild>
                            </w:div>
                            <w:div w:id="1358964643">
                              <w:marLeft w:val="-225"/>
                              <w:marRight w:val="-225"/>
                              <w:marTop w:val="0"/>
                              <w:marBottom w:val="0"/>
                              <w:divBdr>
                                <w:top w:val="none" w:sz="0" w:space="0" w:color="auto"/>
                                <w:left w:val="none" w:sz="0" w:space="0" w:color="auto"/>
                                <w:bottom w:val="none" w:sz="0" w:space="0" w:color="auto"/>
                                <w:right w:val="none" w:sz="0" w:space="0" w:color="auto"/>
                              </w:divBdr>
                              <w:divsChild>
                                <w:div w:id="1225607920">
                                  <w:marLeft w:val="0"/>
                                  <w:marRight w:val="0"/>
                                  <w:marTop w:val="0"/>
                                  <w:marBottom w:val="0"/>
                                  <w:divBdr>
                                    <w:top w:val="none" w:sz="0" w:space="0" w:color="auto"/>
                                    <w:left w:val="none" w:sz="0" w:space="0" w:color="auto"/>
                                    <w:bottom w:val="none" w:sz="0" w:space="0" w:color="auto"/>
                                    <w:right w:val="none" w:sz="0" w:space="0" w:color="auto"/>
                                  </w:divBdr>
                                </w:div>
                                <w:div w:id="1791627160">
                                  <w:marLeft w:val="0"/>
                                  <w:marRight w:val="0"/>
                                  <w:marTop w:val="0"/>
                                  <w:marBottom w:val="0"/>
                                  <w:divBdr>
                                    <w:top w:val="none" w:sz="0" w:space="0" w:color="auto"/>
                                    <w:left w:val="none" w:sz="0" w:space="0" w:color="auto"/>
                                    <w:bottom w:val="none" w:sz="0" w:space="0" w:color="auto"/>
                                    <w:right w:val="none" w:sz="0" w:space="0" w:color="auto"/>
                                  </w:divBdr>
                                </w:div>
                              </w:divsChild>
                            </w:div>
                            <w:div w:id="497228634">
                              <w:marLeft w:val="-225"/>
                              <w:marRight w:val="-225"/>
                              <w:marTop w:val="0"/>
                              <w:marBottom w:val="0"/>
                              <w:divBdr>
                                <w:top w:val="none" w:sz="0" w:space="0" w:color="auto"/>
                                <w:left w:val="none" w:sz="0" w:space="0" w:color="auto"/>
                                <w:bottom w:val="none" w:sz="0" w:space="0" w:color="auto"/>
                                <w:right w:val="none" w:sz="0" w:space="0" w:color="auto"/>
                              </w:divBdr>
                              <w:divsChild>
                                <w:div w:id="509176767">
                                  <w:marLeft w:val="0"/>
                                  <w:marRight w:val="0"/>
                                  <w:marTop w:val="0"/>
                                  <w:marBottom w:val="0"/>
                                  <w:divBdr>
                                    <w:top w:val="none" w:sz="0" w:space="0" w:color="auto"/>
                                    <w:left w:val="none" w:sz="0" w:space="0" w:color="auto"/>
                                    <w:bottom w:val="none" w:sz="0" w:space="0" w:color="auto"/>
                                    <w:right w:val="none" w:sz="0" w:space="0" w:color="auto"/>
                                  </w:divBdr>
                                </w:div>
                                <w:div w:id="363479319">
                                  <w:marLeft w:val="0"/>
                                  <w:marRight w:val="0"/>
                                  <w:marTop w:val="0"/>
                                  <w:marBottom w:val="0"/>
                                  <w:divBdr>
                                    <w:top w:val="none" w:sz="0" w:space="0" w:color="auto"/>
                                    <w:left w:val="none" w:sz="0" w:space="0" w:color="auto"/>
                                    <w:bottom w:val="none" w:sz="0" w:space="0" w:color="auto"/>
                                    <w:right w:val="none" w:sz="0" w:space="0" w:color="auto"/>
                                  </w:divBdr>
                                </w:div>
                              </w:divsChild>
                            </w:div>
                            <w:div w:id="795875445">
                              <w:marLeft w:val="-225"/>
                              <w:marRight w:val="-225"/>
                              <w:marTop w:val="0"/>
                              <w:marBottom w:val="0"/>
                              <w:divBdr>
                                <w:top w:val="none" w:sz="0" w:space="0" w:color="auto"/>
                                <w:left w:val="none" w:sz="0" w:space="0" w:color="auto"/>
                                <w:bottom w:val="none" w:sz="0" w:space="0" w:color="auto"/>
                                <w:right w:val="none" w:sz="0" w:space="0" w:color="auto"/>
                              </w:divBdr>
                              <w:divsChild>
                                <w:div w:id="1603294593">
                                  <w:marLeft w:val="0"/>
                                  <w:marRight w:val="0"/>
                                  <w:marTop w:val="0"/>
                                  <w:marBottom w:val="0"/>
                                  <w:divBdr>
                                    <w:top w:val="none" w:sz="0" w:space="0" w:color="auto"/>
                                    <w:left w:val="none" w:sz="0" w:space="0" w:color="auto"/>
                                    <w:bottom w:val="none" w:sz="0" w:space="0" w:color="auto"/>
                                    <w:right w:val="none" w:sz="0" w:space="0" w:color="auto"/>
                                  </w:divBdr>
                                </w:div>
                                <w:div w:id="1526213423">
                                  <w:marLeft w:val="0"/>
                                  <w:marRight w:val="0"/>
                                  <w:marTop w:val="0"/>
                                  <w:marBottom w:val="0"/>
                                  <w:divBdr>
                                    <w:top w:val="none" w:sz="0" w:space="0" w:color="auto"/>
                                    <w:left w:val="none" w:sz="0" w:space="0" w:color="auto"/>
                                    <w:bottom w:val="none" w:sz="0" w:space="0" w:color="auto"/>
                                    <w:right w:val="none" w:sz="0" w:space="0" w:color="auto"/>
                                  </w:divBdr>
                                </w:div>
                              </w:divsChild>
                            </w:div>
                            <w:div w:id="1259295692">
                              <w:marLeft w:val="-225"/>
                              <w:marRight w:val="-225"/>
                              <w:marTop w:val="0"/>
                              <w:marBottom w:val="0"/>
                              <w:divBdr>
                                <w:top w:val="none" w:sz="0" w:space="0" w:color="auto"/>
                                <w:left w:val="none" w:sz="0" w:space="0" w:color="auto"/>
                                <w:bottom w:val="none" w:sz="0" w:space="0" w:color="auto"/>
                                <w:right w:val="none" w:sz="0" w:space="0" w:color="auto"/>
                              </w:divBdr>
                              <w:divsChild>
                                <w:div w:id="1179975800">
                                  <w:marLeft w:val="0"/>
                                  <w:marRight w:val="0"/>
                                  <w:marTop w:val="0"/>
                                  <w:marBottom w:val="0"/>
                                  <w:divBdr>
                                    <w:top w:val="none" w:sz="0" w:space="0" w:color="auto"/>
                                    <w:left w:val="none" w:sz="0" w:space="0" w:color="auto"/>
                                    <w:bottom w:val="none" w:sz="0" w:space="0" w:color="auto"/>
                                    <w:right w:val="none" w:sz="0" w:space="0" w:color="auto"/>
                                  </w:divBdr>
                                </w:div>
                                <w:div w:id="178280763">
                                  <w:marLeft w:val="0"/>
                                  <w:marRight w:val="0"/>
                                  <w:marTop w:val="0"/>
                                  <w:marBottom w:val="0"/>
                                  <w:divBdr>
                                    <w:top w:val="none" w:sz="0" w:space="0" w:color="auto"/>
                                    <w:left w:val="none" w:sz="0" w:space="0" w:color="auto"/>
                                    <w:bottom w:val="none" w:sz="0" w:space="0" w:color="auto"/>
                                    <w:right w:val="none" w:sz="0" w:space="0" w:color="auto"/>
                                  </w:divBdr>
                                </w:div>
                              </w:divsChild>
                            </w:div>
                            <w:div w:id="1303733011">
                              <w:marLeft w:val="-225"/>
                              <w:marRight w:val="-225"/>
                              <w:marTop w:val="0"/>
                              <w:marBottom w:val="0"/>
                              <w:divBdr>
                                <w:top w:val="none" w:sz="0" w:space="0" w:color="auto"/>
                                <w:left w:val="none" w:sz="0" w:space="0" w:color="auto"/>
                                <w:bottom w:val="none" w:sz="0" w:space="0" w:color="auto"/>
                                <w:right w:val="none" w:sz="0" w:space="0" w:color="auto"/>
                              </w:divBdr>
                              <w:divsChild>
                                <w:div w:id="1342270244">
                                  <w:marLeft w:val="0"/>
                                  <w:marRight w:val="0"/>
                                  <w:marTop w:val="0"/>
                                  <w:marBottom w:val="0"/>
                                  <w:divBdr>
                                    <w:top w:val="none" w:sz="0" w:space="0" w:color="auto"/>
                                    <w:left w:val="none" w:sz="0" w:space="0" w:color="auto"/>
                                    <w:bottom w:val="none" w:sz="0" w:space="0" w:color="auto"/>
                                    <w:right w:val="none" w:sz="0" w:space="0" w:color="auto"/>
                                  </w:divBdr>
                                </w:div>
                                <w:div w:id="20235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Single.aspx?pcode=H0070011&amp;flno=5" TargetMode="External"/><Relationship Id="rId13" Type="http://schemas.openxmlformats.org/officeDocument/2006/relationships/hyperlink" Target="https://law.moj.gov.tw/LawClass/LawSingle.aspx?pcode=H0070011&amp;flno=10" TargetMode="External"/><Relationship Id="rId3" Type="http://schemas.openxmlformats.org/officeDocument/2006/relationships/settings" Target="settings.xml"/><Relationship Id="rId7" Type="http://schemas.openxmlformats.org/officeDocument/2006/relationships/hyperlink" Target="https://law.moj.gov.tw/LawClass/LawSingle.aspx?pcode=H0070011&amp;flno=4" TargetMode="External"/><Relationship Id="rId12" Type="http://schemas.openxmlformats.org/officeDocument/2006/relationships/hyperlink" Target="https://law.moj.gov.tw/LawClass/LawSingle.aspx?pcode=H0070011&amp;flno=9"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aw.moj.gov.tw/LawClass/LawSingle.aspx?pcode=H0070011&amp;flno=3" TargetMode="External"/><Relationship Id="rId11" Type="http://schemas.openxmlformats.org/officeDocument/2006/relationships/hyperlink" Target="https://law.moj.gov.tw/LawClass/LawSingle.aspx?pcode=H0070011&amp;flno=8" TargetMode="External"/><Relationship Id="rId5" Type="http://schemas.openxmlformats.org/officeDocument/2006/relationships/hyperlink" Target="https://law.moj.gov.tw/LawClass/LawSingle.aspx?pcode=H0070011&amp;flno=2" TargetMode="External"/><Relationship Id="rId15" Type="http://schemas.openxmlformats.org/officeDocument/2006/relationships/hyperlink" Target="https://law.moj.gov.tw/LawClass/LawSingle.aspx?pcode=H0070011&amp;flno=12" TargetMode="External"/><Relationship Id="rId10" Type="http://schemas.openxmlformats.org/officeDocument/2006/relationships/hyperlink" Target="https://law.moj.gov.tw/LawClass/LawSingle.aspx?pcode=H0070011&amp;flno=7" TargetMode="External"/><Relationship Id="rId4" Type="http://schemas.openxmlformats.org/officeDocument/2006/relationships/webSettings" Target="webSettings.xml"/><Relationship Id="rId9" Type="http://schemas.openxmlformats.org/officeDocument/2006/relationships/hyperlink" Target="https://law.moj.gov.tw/LawClass/LawSingle.aspx?pcode=H0070011&amp;flno=6" TargetMode="External"/><Relationship Id="rId14" Type="http://schemas.openxmlformats.org/officeDocument/2006/relationships/hyperlink" Target="https://law.moj.gov.tw/LawClass/LawSingle.aspx?pcode=H0070011&amp;flno=1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2019-07-24T07:09:00Z</dcterms:created>
  <dcterms:modified xsi:type="dcterms:W3CDTF">2019-07-24T07:10:00Z</dcterms:modified>
</cp:coreProperties>
</file>