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B1" w:rsidRDefault="001F1A96" w:rsidP="00BB2EC8">
      <w:pPr>
        <w:spacing w:afterLines="25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41A12">
        <w:rPr>
          <w:rFonts w:ascii="標楷體" w:eastAsia="標楷體" w:hAnsi="標楷體" w:hint="eastAsia"/>
          <w:b/>
          <w:sz w:val="32"/>
          <w:szCs w:val="32"/>
        </w:rPr>
        <w:t>泰安鄉公所</w:t>
      </w:r>
      <w:r w:rsidR="00635822" w:rsidRPr="00635822">
        <w:rPr>
          <w:rFonts w:ascii="標楷體" w:eastAsia="標楷體" w:hAnsi="標楷體" w:hint="eastAsia"/>
          <w:b/>
          <w:sz w:val="32"/>
          <w:szCs w:val="32"/>
        </w:rPr>
        <w:t>統計通報</w:t>
      </w:r>
    </w:p>
    <w:p w:rsidR="00993A1F" w:rsidRPr="00A36B35" w:rsidRDefault="00BB2EC8" w:rsidP="0083363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4543B">
        <w:rPr>
          <w:rFonts w:ascii="Arial Unicode MS" w:eastAsia="Arial Unicode MS" w:hAnsi="Arial Unicode MS" w:cs="Arial Unicode MS" w:hint="eastAsia"/>
          <w:b/>
          <w:sz w:val="32"/>
          <w:szCs w:val="32"/>
        </w:rPr>
        <w:t>107</w:t>
      </w:r>
      <w:r w:rsidRPr="00141A12">
        <w:rPr>
          <w:rFonts w:ascii="標楷體" w:eastAsia="標楷體" w:hAnsi="標楷體" w:hint="eastAsia"/>
          <w:b/>
          <w:sz w:val="32"/>
          <w:szCs w:val="32"/>
        </w:rPr>
        <w:t>年度</w:t>
      </w:r>
      <w:r w:rsidR="006D6009">
        <w:rPr>
          <w:rFonts w:ascii="標楷體" w:eastAsia="標楷體" w:hAnsi="標楷體" w:hint="eastAsia"/>
          <w:b/>
          <w:sz w:val="32"/>
          <w:szCs w:val="32"/>
        </w:rPr>
        <w:t>垃圾</w:t>
      </w:r>
      <w:r w:rsidR="00C95F41" w:rsidRPr="00C95F41">
        <w:rPr>
          <w:rFonts w:ascii="標楷體" w:eastAsia="標楷體" w:hAnsi="標楷體" w:hint="eastAsia"/>
          <w:b/>
          <w:sz w:val="32"/>
          <w:szCs w:val="32"/>
        </w:rPr>
        <w:t>進</w:t>
      </w:r>
      <w:r w:rsidR="006D6009">
        <w:rPr>
          <w:rFonts w:ascii="標楷體" w:eastAsia="標楷體" w:hAnsi="標楷體" w:hint="eastAsia"/>
          <w:b/>
          <w:sz w:val="32"/>
          <w:szCs w:val="32"/>
        </w:rPr>
        <w:t>竹南焚化廠</w:t>
      </w:r>
      <w:r w:rsidR="001F1A96" w:rsidRPr="00A36B35">
        <w:rPr>
          <w:rFonts w:ascii="標楷體" w:eastAsia="標楷體" w:hAnsi="標楷體" w:hint="eastAsia"/>
          <w:b/>
          <w:sz w:val="32"/>
          <w:szCs w:val="32"/>
        </w:rPr>
        <w:t>概況</w:t>
      </w:r>
    </w:p>
    <w:p w:rsidR="009D066A" w:rsidRPr="001E35D8" w:rsidRDefault="00A36B35" w:rsidP="00BB2EC8">
      <w:pPr>
        <w:pStyle w:val="a3"/>
        <w:spacing w:beforeLines="25" w:line="0" w:lineRule="atLeast"/>
        <w:ind w:leftChars="0" w:left="142" w:firstLineChars="200" w:firstLine="480"/>
        <w:rPr>
          <w:rFonts w:ascii="標楷體" w:eastAsia="標楷體" w:hAnsi="標楷體"/>
          <w:szCs w:val="24"/>
        </w:rPr>
      </w:pPr>
      <w:r w:rsidRPr="00A36B35">
        <w:rPr>
          <w:rFonts w:ascii="標楷體" w:eastAsia="標楷體" w:hAnsi="標楷體"/>
          <w:szCs w:val="24"/>
        </w:rPr>
        <w:t>本鄉</w:t>
      </w:r>
      <w:proofErr w:type="gramStart"/>
      <w:r w:rsidR="002E737B" w:rsidRPr="0083363A">
        <w:rPr>
          <w:rFonts w:ascii="Arial Unicode MS" w:eastAsia="Arial Unicode MS" w:hAnsi="Arial Unicode MS" w:cs="Arial Unicode MS" w:hint="eastAsia"/>
          <w:szCs w:val="24"/>
        </w:rPr>
        <w:t>107</w:t>
      </w:r>
      <w:proofErr w:type="gramEnd"/>
      <w:r w:rsidRPr="00A36B35">
        <w:rPr>
          <w:rFonts w:ascii="標楷體" w:eastAsia="標楷體" w:hAnsi="標楷體"/>
          <w:szCs w:val="24"/>
        </w:rPr>
        <w:t>年度垃圾進竹南焚化場焚化數量</w:t>
      </w:r>
      <w:r w:rsidR="000435C0">
        <w:rPr>
          <w:rFonts w:ascii="標楷體" w:eastAsia="標楷體" w:hAnsi="標楷體" w:hint="eastAsia"/>
          <w:szCs w:val="24"/>
        </w:rPr>
        <w:t>總</w:t>
      </w:r>
      <w:r w:rsidRPr="00A36B35">
        <w:rPr>
          <w:rFonts w:ascii="標楷體" w:eastAsia="標楷體" w:hAnsi="標楷體"/>
          <w:szCs w:val="24"/>
        </w:rPr>
        <w:t>計為</w:t>
      </w:r>
      <w:r w:rsidR="002C6B1F" w:rsidRPr="0083363A">
        <w:rPr>
          <w:rFonts w:ascii="Arial Unicode MS" w:eastAsia="Arial Unicode MS" w:hAnsi="Arial Unicode MS" w:cs="Arial Unicode MS" w:hint="eastAsia"/>
          <w:szCs w:val="24"/>
        </w:rPr>
        <w:t>889.82</w:t>
      </w:r>
      <w:r w:rsidRPr="00A36B35">
        <w:rPr>
          <w:rFonts w:ascii="標楷體" w:eastAsia="標楷體" w:hAnsi="標楷體"/>
          <w:szCs w:val="24"/>
        </w:rPr>
        <w:t>公噸，焚化數量以</w:t>
      </w:r>
      <w:r w:rsidR="002C6B1F" w:rsidRPr="0083363A">
        <w:rPr>
          <w:rFonts w:ascii="Arial Unicode MS" w:eastAsia="Arial Unicode MS" w:hAnsi="Arial Unicode MS" w:cs="Arial Unicode MS" w:hint="eastAsia"/>
          <w:szCs w:val="24"/>
        </w:rPr>
        <w:t>1</w:t>
      </w:r>
      <w:r w:rsidRPr="00A36B35">
        <w:rPr>
          <w:rFonts w:ascii="標楷體" w:eastAsia="標楷體" w:hAnsi="標楷體"/>
          <w:szCs w:val="24"/>
        </w:rPr>
        <w:t>月</w:t>
      </w:r>
      <w:r w:rsidR="002C5B23">
        <w:rPr>
          <w:rFonts w:ascii="標楷體" w:eastAsia="標楷體" w:hAnsi="標楷體" w:hint="eastAsia"/>
          <w:szCs w:val="24"/>
        </w:rPr>
        <w:t>份</w:t>
      </w:r>
      <w:r w:rsidRPr="00A36B35">
        <w:rPr>
          <w:rFonts w:ascii="標楷體" w:eastAsia="標楷體" w:hAnsi="標楷體"/>
          <w:szCs w:val="24"/>
        </w:rPr>
        <w:t>最高，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12</w:t>
      </w:r>
      <w:r w:rsidR="002C5B23">
        <w:rPr>
          <w:rFonts w:ascii="標楷體" w:eastAsia="標楷體" w:hAnsi="標楷體" w:hint="eastAsia"/>
          <w:szCs w:val="24"/>
        </w:rPr>
        <w:t>月份</w:t>
      </w:r>
      <w:r w:rsidR="000435C0">
        <w:rPr>
          <w:rFonts w:ascii="標楷體" w:eastAsia="標楷體" w:hAnsi="標楷體"/>
          <w:szCs w:val="24"/>
        </w:rPr>
        <w:t>最低</w:t>
      </w:r>
      <w:r w:rsidR="002C5B23">
        <w:rPr>
          <w:rFonts w:ascii="標楷體" w:eastAsia="標楷體" w:hAnsi="標楷體" w:hint="eastAsia"/>
          <w:szCs w:val="24"/>
        </w:rPr>
        <w:t>，兩者分別焚化數量為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87.65</w:t>
      </w:r>
      <w:r w:rsidR="002C5B23">
        <w:rPr>
          <w:rFonts w:ascii="標楷體" w:eastAsia="標楷體" w:hAnsi="標楷體" w:hint="eastAsia"/>
          <w:szCs w:val="24"/>
        </w:rPr>
        <w:t>公噸及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63.24</w:t>
      </w:r>
      <w:r w:rsidRPr="00A36B35">
        <w:rPr>
          <w:rFonts w:ascii="標楷體" w:eastAsia="標楷體" w:hAnsi="標楷體"/>
          <w:szCs w:val="24"/>
        </w:rPr>
        <w:t>公噸，</w:t>
      </w:r>
      <w:r w:rsidR="002C5B23">
        <w:rPr>
          <w:rFonts w:ascii="標楷體" w:eastAsia="標楷體" w:hAnsi="標楷體" w:hint="eastAsia"/>
          <w:szCs w:val="24"/>
        </w:rPr>
        <w:t>相差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24.41</w:t>
      </w:r>
      <w:r w:rsidR="002C5B23">
        <w:rPr>
          <w:rFonts w:ascii="標楷體" w:eastAsia="標楷體" w:hAnsi="標楷體" w:hint="eastAsia"/>
          <w:szCs w:val="24"/>
        </w:rPr>
        <w:t>公噸，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107</w:t>
      </w:r>
      <w:r w:rsidR="002C5B23">
        <w:rPr>
          <w:rFonts w:ascii="標楷體" w:eastAsia="標楷體" w:hAnsi="標楷體" w:hint="eastAsia"/>
          <w:szCs w:val="24"/>
        </w:rPr>
        <w:t>年</w:t>
      </w:r>
      <w:r w:rsidRPr="00A36B35">
        <w:rPr>
          <w:rFonts w:ascii="標楷體" w:eastAsia="標楷體" w:hAnsi="標楷體"/>
          <w:szCs w:val="24"/>
        </w:rPr>
        <w:t>每月平均焚化</w:t>
      </w:r>
      <w:r w:rsidR="002C5B23">
        <w:rPr>
          <w:rFonts w:ascii="標楷體" w:eastAsia="標楷體" w:hAnsi="標楷體" w:hint="eastAsia"/>
          <w:szCs w:val="24"/>
        </w:rPr>
        <w:t>數量為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74.15</w:t>
      </w:r>
      <w:r w:rsidRPr="00A36B35">
        <w:rPr>
          <w:rFonts w:ascii="標楷體" w:eastAsia="標楷體" w:hAnsi="標楷體"/>
          <w:szCs w:val="24"/>
        </w:rPr>
        <w:t xml:space="preserve">公噸。 </w:t>
      </w:r>
      <w:proofErr w:type="gramStart"/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107</w:t>
      </w:r>
      <w:proofErr w:type="gramEnd"/>
      <w:r w:rsidR="002C5B23">
        <w:rPr>
          <w:rFonts w:ascii="標楷體" w:eastAsia="標楷體" w:hAnsi="標楷體"/>
          <w:szCs w:val="24"/>
        </w:rPr>
        <w:t>年度</w:t>
      </w:r>
      <w:r w:rsidR="002C5B23">
        <w:rPr>
          <w:rFonts w:ascii="標楷體" w:eastAsia="標楷體" w:hAnsi="標楷體" w:hint="eastAsia"/>
          <w:szCs w:val="24"/>
        </w:rPr>
        <w:t>較</w:t>
      </w:r>
      <w:proofErr w:type="gramStart"/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106</w:t>
      </w:r>
      <w:proofErr w:type="gramEnd"/>
      <w:r w:rsidRPr="00A36B35">
        <w:rPr>
          <w:rFonts w:ascii="標楷體" w:eastAsia="標楷體" w:hAnsi="標楷體"/>
          <w:szCs w:val="24"/>
        </w:rPr>
        <w:t>年度</w:t>
      </w:r>
      <w:r w:rsidR="000435C0">
        <w:rPr>
          <w:rFonts w:ascii="標楷體" w:eastAsia="標楷體" w:hAnsi="標楷體" w:hint="eastAsia"/>
          <w:szCs w:val="24"/>
        </w:rPr>
        <w:t>焚化數量總計</w:t>
      </w:r>
      <w:r w:rsidR="002C5B23">
        <w:rPr>
          <w:rFonts w:ascii="標楷體" w:eastAsia="標楷體" w:hAnsi="標楷體" w:hint="eastAsia"/>
          <w:szCs w:val="24"/>
        </w:rPr>
        <w:t>增加</w:t>
      </w:r>
      <w:r w:rsidR="002C5B23" w:rsidRPr="0083363A">
        <w:rPr>
          <w:rFonts w:ascii="Arial Unicode MS" w:eastAsia="Arial Unicode MS" w:hAnsi="Arial Unicode MS" w:cs="Arial Unicode MS" w:hint="eastAsia"/>
          <w:szCs w:val="24"/>
        </w:rPr>
        <w:t>0.74</w:t>
      </w:r>
      <w:r w:rsidRPr="00A36B35">
        <w:rPr>
          <w:rFonts w:ascii="標楷體" w:eastAsia="標楷體" w:hAnsi="標楷體"/>
          <w:szCs w:val="24"/>
        </w:rPr>
        <w:t>公噸，</w:t>
      </w:r>
      <w:proofErr w:type="gramStart"/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106</w:t>
      </w:r>
      <w:proofErr w:type="gramEnd"/>
      <w:r w:rsidR="002C5B23">
        <w:rPr>
          <w:rFonts w:ascii="標楷體" w:eastAsia="標楷體" w:hAnsi="標楷體" w:hint="eastAsia"/>
          <w:szCs w:val="24"/>
        </w:rPr>
        <w:t>年度較</w:t>
      </w:r>
      <w:proofErr w:type="gramStart"/>
      <w:r w:rsidR="002C5B23" w:rsidRPr="0083363A">
        <w:rPr>
          <w:rFonts w:ascii="Arial Unicode MS" w:eastAsia="Arial Unicode MS" w:hAnsi="Arial Unicode MS" w:cs="Arial Unicode MS" w:hint="eastAsia"/>
          <w:szCs w:val="24"/>
        </w:rPr>
        <w:t>105</w:t>
      </w:r>
      <w:proofErr w:type="gramEnd"/>
      <w:r w:rsidR="002C5B23">
        <w:rPr>
          <w:rFonts w:ascii="標楷體" w:eastAsia="標楷體" w:hAnsi="標楷體" w:hint="eastAsia"/>
          <w:szCs w:val="24"/>
        </w:rPr>
        <w:t>年度增加</w:t>
      </w:r>
      <w:r w:rsidR="002C7FC6" w:rsidRPr="0083363A">
        <w:rPr>
          <w:rFonts w:ascii="Arial Unicode MS" w:eastAsia="Arial Unicode MS" w:hAnsi="Arial Unicode MS" w:cs="Arial Unicode MS" w:hint="eastAsia"/>
          <w:szCs w:val="24"/>
        </w:rPr>
        <w:t>58.67</w:t>
      </w:r>
      <w:r w:rsidR="002C7FC6">
        <w:rPr>
          <w:rFonts w:ascii="標楷體" w:eastAsia="標楷體" w:hAnsi="標楷體" w:hint="eastAsia"/>
          <w:szCs w:val="24"/>
        </w:rPr>
        <w:t>公噸，</w:t>
      </w:r>
      <w:r w:rsidR="002C7FC6" w:rsidRPr="0083363A">
        <w:rPr>
          <w:rFonts w:ascii="Arial Unicode MS" w:eastAsia="Arial Unicode MS" w:hAnsi="Arial Unicode MS" w:cs="Arial Unicode MS" w:hint="eastAsia"/>
          <w:szCs w:val="24"/>
        </w:rPr>
        <w:t>105</w:t>
      </w:r>
      <w:r w:rsidR="002C7FC6">
        <w:rPr>
          <w:rFonts w:ascii="標楷體" w:eastAsia="標楷體" w:hAnsi="標楷體" w:hint="eastAsia"/>
          <w:szCs w:val="24"/>
        </w:rPr>
        <w:t>至</w:t>
      </w:r>
      <w:r w:rsidR="002C7FC6" w:rsidRPr="0083363A">
        <w:rPr>
          <w:rFonts w:ascii="Arial Unicode MS" w:eastAsia="Arial Unicode MS" w:hAnsi="Arial Unicode MS" w:cs="Arial Unicode MS" w:hint="eastAsia"/>
          <w:szCs w:val="24"/>
        </w:rPr>
        <w:t>106</w:t>
      </w:r>
      <w:r w:rsidR="002C7FC6">
        <w:rPr>
          <w:rFonts w:ascii="標楷體" w:eastAsia="標楷體" w:hAnsi="標楷體" w:hint="eastAsia"/>
          <w:szCs w:val="24"/>
        </w:rPr>
        <w:t>年度出現明顯上升趨勢，</w:t>
      </w:r>
      <w:r w:rsidR="002C7FC6" w:rsidRPr="0083363A">
        <w:rPr>
          <w:rFonts w:ascii="Arial Unicode MS" w:eastAsia="Arial Unicode MS" w:hAnsi="Arial Unicode MS" w:cs="Arial Unicode MS" w:hint="eastAsia"/>
          <w:szCs w:val="24"/>
        </w:rPr>
        <w:t>106</w:t>
      </w:r>
      <w:r w:rsidR="002C7FC6">
        <w:rPr>
          <w:rFonts w:ascii="標楷體" w:eastAsia="標楷體" w:hAnsi="標楷體" w:hint="eastAsia"/>
          <w:szCs w:val="24"/>
        </w:rPr>
        <w:t>至</w:t>
      </w:r>
      <w:r w:rsidR="002C7FC6" w:rsidRPr="0083363A">
        <w:rPr>
          <w:rFonts w:ascii="Arial Unicode MS" w:eastAsia="Arial Unicode MS" w:hAnsi="Arial Unicode MS" w:cs="Arial Unicode MS" w:hint="eastAsia"/>
          <w:szCs w:val="24"/>
        </w:rPr>
        <w:t>107</w:t>
      </w:r>
      <w:r w:rsidR="002C7FC6">
        <w:rPr>
          <w:rFonts w:ascii="標楷體" w:eastAsia="標楷體" w:hAnsi="標楷體" w:hint="eastAsia"/>
          <w:szCs w:val="24"/>
        </w:rPr>
        <w:t>年度上升趨勢則大幅趨緩，兩者無明顯差異</w:t>
      </w:r>
      <w:r w:rsidRPr="00A36B35">
        <w:rPr>
          <w:rFonts w:ascii="標楷體" w:eastAsia="標楷體" w:hAnsi="標楷體"/>
          <w:szCs w:val="24"/>
        </w:rPr>
        <w:t xml:space="preserve">(參閱表一、圖一)。 </w:t>
      </w:r>
    </w:p>
    <w:p w:rsidR="009D066A" w:rsidRPr="00B91FC6" w:rsidRDefault="00113F7C" w:rsidP="00BB2EC8">
      <w:pPr>
        <w:spacing w:beforeLines="25" w:line="0" w:lineRule="atLeast"/>
        <w:ind w:firstLineChars="50" w:firstLine="120"/>
        <w:jc w:val="center"/>
        <w:rPr>
          <w:rFonts w:ascii="標楷體" w:eastAsia="標楷體" w:hAnsi="標楷體"/>
          <w:szCs w:val="24"/>
        </w:rPr>
      </w:pPr>
      <w:r w:rsidRPr="001E35D8">
        <w:rPr>
          <w:rFonts w:ascii="標楷體" w:eastAsia="標楷體" w:hAnsi="標楷體" w:hint="eastAsia"/>
          <w:bCs/>
          <w:szCs w:val="24"/>
        </w:rPr>
        <w:t>(</w:t>
      </w:r>
      <w:r w:rsidR="000435C0">
        <w:rPr>
          <w:rFonts w:ascii="標楷體" w:eastAsia="標楷體" w:hAnsi="標楷體" w:hint="eastAsia"/>
          <w:bCs/>
          <w:szCs w:val="24"/>
        </w:rPr>
        <w:t>表</w:t>
      </w:r>
      <w:proofErr w:type="gramStart"/>
      <w:r w:rsidRPr="001E35D8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1E35D8">
        <w:rPr>
          <w:rFonts w:ascii="標楷體" w:eastAsia="標楷體" w:hAnsi="標楷體" w:hint="eastAsia"/>
          <w:bCs/>
          <w:szCs w:val="24"/>
        </w:rPr>
        <w:t>)</w:t>
      </w:r>
      <w:r w:rsidR="00893000" w:rsidRPr="001E35D8">
        <w:rPr>
          <w:rFonts w:ascii="標楷體" w:eastAsia="標楷體" w:hAnsi="標楷體" w:hint="eastAsia"/>
          <w:szCs w:val="24"/>
        </w:rPr>
        <w:t xml:space="preserve"> </w:t>
      </w:r>
      <w:r w:rsidR="003D78CD" w:rsidRPr="001E35D8">
        <w:rPr>
          <w:rFonts w:ascii="標楷體" w:eastAsia="標楷體" w:hAnsi="標楷體" w:hint="eastAsia"/>
          <w:szCs w:val="24"/>
        </w:rPr>
        <w:t>泰安鄉</w:t>
      </w:r>
      <w:r w:rsidR="00B91FC6" w:rsidRPr="00B91FC6">
        <w:rPr>
          <w:rFonts w:ascii="標楷體" w:eastAsia="標楷體" w:hAnsi="標楷體" w:hint="eastAsia"/>
          <w:szCs w:val="24"/>
        </w:rPr>
        <w:t>垃圾</w:t>
      </w:r>
      <w:r w:rsidR="00C95F41">
        <w:rPr>
          <w:rFonts w:ascii="標楷體" w:eastAsia="標楷體" w:hAnsi="標楷體" w:hint="eastAsia"/>
          <w:szCs w:val="24"/>
        </w:rPr>
        <w:t>進</w:t>
      </w:r>
      <w:r w:rsidR="00B91FC6" w:rsidRPr="00B91FC6">
        <w:rPr>
          <w:rFonts w:ascii="標楷體" w:eastAsia="標楷體" w:hAnsi="標楷體" w:hint="eastAsia"/>
          <w:szCs w:val="24"/>
        </w:rPr>
        <w:t>竹南焚化廠</w:t>
      </w:r>
      <w:r w:rsidR="000435C0">
        <w:rPr>
          <w:rFonts w:ascii="標楷體" w:eastAsia="標楷體" w:hAnsi="標楷體" w:hint="eastAsia"/>
          <w:szCs w:val="24"/>
        </w:rPr>
        <w:t>焚化數量</w:t>
      </w:r>
      <w:r w:rsidR="00B91FC6" w:rsidRPr="00B91FC6">
        <w:rPr>
          <w:rFonts w:ascii="標楷體" w:eastAsia="標楷體" w:hAnsi="標楷體" w:hint="eastAsia"/>
          <w:szCs w:val="24"/>
        </w:rPr>
        <w:t>概況</w:t>
      </w:r>
      <w:r w:rsidR="00893000" w:rsidRPr="001E35D8">
        <w:rPr>
          <w:rFonts w:ascii="標楷體" w:eastAsia="標楷體" w:hAnsi="標楷體" w:hint="eastAsia"/>
          <w:szCs w:val="24"/>
        </w:rPr>
        <w:t>表</w:t>
      </w:r>
    </w:p>
    <w:tbl>
      <w:tblPr>
        <w:tblW w:w="10058" w:type="dxa"/>
        <w:jc w:val="center"/>
        <w:tblInd w:w="-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30"/>
        <w:gridCol w:w="1141"/>
        <w:gridCol w:w="1141"/>
        <w:gridCol w:w="1141"/>
        <w:gridCol w:w="1141"/>
        <w:gridCol w:w="1141"/>
        <w:gridCol w:w="1141"/>
        <w:gridCol w:w="1141"/>
        <w:gridCol w:w="1141"/>
      </w:tblGrid>
      <w:tr w:rsidR="005D6076" w:rsidRPr="002C5B23" w:rsidTr="00AD7A71">
        <w:trPr>
          <w:trHeight w:val="525"/>
          <w:jc w:val="center"/>
        </w:trPr>
        <w:tc>
          <w:tcPr>
            <w:tcW w:w="930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4B603F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年/月</w:t>
            </w:r>
          </w:p>
        </w:tc>
        <w:tc>
          <w:tcPr>
            <w:tcW w:w="2282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szCs w:val="24"/>
              </w:rPr>
              <w:t>105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282" w:type="dxa"/>
            <w:gridSpan w:val="2"/>
            <w:shd w:val="clear" w:color="auto" w:fill="FBD4B4" w:themeFill="accent6" w:themeFillTint="66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szCs w:val="24"/>
              </w:rPr>
              <w:t>106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282" w:type="dxa"/>
            <w:gridSpan w:val="2"/>
            <w:shd w:val="clear" w:color="auto" w:fill="FBD4B4" w:themeFill="accent6" w:themeFillTint="66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szCs w:val="24"/>
              </w:rPr>
              <w:t>107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282" w:type="dxa"/>
            <w:gridSpan w:val="2"/>
            <w:shd w:val="clear" w:color="auto" w:fill="FBD4B4" w:themeFill="accent6" w:themeFillTint="66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  均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vMerge/>
            <w:shd w:val="clear" w:color="auto" w:fill="B6DDE8" w:themeFill="accent5" w:themeFillTint="66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(公噸)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占全年數量比率(%)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(公噸)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占全年數量比率(%)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(公噸)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占全年數量比率(%)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(公噸)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2C5B23" w:rsidRPr="002C5B23" w:rsidRDefault="002C5B23" w:rsidP="004B603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C5B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占全年平均合計數量比率(%)</w:t>
            </w:r>
          </w:p>
        </w:tc>
      </w:tr>
      <w:tr w:rsidR="004B603F" w:rsidRPr="002C5B23" w:rsidTr="00AD7A71">
        <w:trPr>
          <w:trHeight w:val="312"/>
          <w:jc w:val="center"/>
        </w:trPr>
        <w:tc>
          <w:tcPr>
            <w:tcW w:w="930" w:type="dxa"/>
            <w:vMerge/>
            <w:shd w:val="clear" w:color="auto" w:fill="B6DDE8" w:themeFill="accent5" w:themeFillTint="66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70.15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8.45%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85.37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9.60%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87.65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9.85%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81.06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9.32%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74.78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9.01%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73.34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8.25%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79.05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8.88%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75.72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8.71%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68.32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8.23%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82.44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9.27%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73.73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8.29%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74.83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8.60%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70.67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8.51%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72.90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8.20%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74.13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8.33%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72.57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8.34%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74.16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8.93%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81.68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9.19%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75.99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8.54%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77.28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8.88%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64.58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7.78%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78.53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8.83%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75.11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8.44%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72.74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8.36%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66.55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8.01%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68.80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7.74%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79.31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8.91%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71.55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8.23%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70.49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8.49%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71.20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8.01%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69.28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7.79%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70.32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8.09%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64.70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7.79%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64.33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7.24%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64.47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7.25%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64.50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7.42%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66.18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7.97%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78.38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8.82%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73.46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8.26%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72.67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8.36%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70.24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8.46%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64.27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7.23%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74.40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8.36%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69.64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8.01%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69.59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8.38%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67.84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7.63%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63.24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7.11%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66.89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7.69%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830.41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889.08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889.82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869.77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100.00%</w:t>
            </w:r>
          </w:p>
        </w:tc>
      </w:tr>
      <w:tr w:rsidR="004B603F" w:rsidRPr="002C5B23" w:rsidTr="00AD7A71">
        <w:trPr>
          <w:trHeight w:val="360"/>
          <w:jc w:val="center"/>
        </w:trPr>
        <w:tc>
          <w:tcPr>
            <w:tcW w:w="930" w:type="dxa"/>
            <w:shd w:val="clear" w:color="auto" w:fill="B6DDE8" w:themeFill="accent5" w:themeFillTint="66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平均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69.20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74.09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74.15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72.48 </w:t>
            </w:r>
          </w:p>
        </w:tc>
        <w:tc>
          <w:tcPr>
            <w:tcW w:w="1141" w:type="dxa"/>
            <w:shd w:val="clear" w:color="auto" w:fill="auto"/>
            <w:hideMark/>
          </w:tcPr>
          <w:p w:rsidR="002C5B23" w:rsidRPr="002C5B23" w:rsidRDefault="002C5B23" w:rsidP="002C5B23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2C5B2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04AB7" w:rsidRPr="00E04AB7" w:rsidRDefault="00E04AB7" w:rsidP="00C7197E">
      <w:pPr>
        <w:pStyle w:val="a3"/>
        <w:spacing w:line="0" w:lineRule="atLeast"/>
        <w:ind w:leftChars="0" w:left="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 xml:space="preserve">      資料來源：本所清潔隊</w:t>
      </w:r>
    </w:p>
    <w:p w:rsidR="000435C0" w:rsidRPr="000435C0" w:rsidRDefault="000435C0" w:rsidP="00BB2EC8">
      <w:pPr>
        <w:pStyle w:val="a3"/>
        <w:spacing w:beforeLines="25"/>
        <w:ind w:leftChars="0" w:left="0"/>
        <w:jc w:val="center"/>
        <w:rPr>
          <w:rFonts w:ascii="標楷體" w:eastAsia="標楷體" w:hAnsi="標楷體"/>
          <w:bCs/>
          <w:szCs w:val="24"/>
        </w:rPr>
      </w:pPr>
      <w:r w:rsidRPr="000435C0">
        <w:rPr>
          <w:rFonts w:ascii="標楷體" w:eastAsia="標楷體" w:hAnsi="標楷體" w:hint="eastAsia"/>
          <w:bCs/>
          <w:szCs w:val="24"/>
        </w:rPr>
        <w:t>(圖一)</w:t>
      </w:r>
      <w:r w:rsidRPr="000435C0">
        <w:rPr>
          <w:rFonts w:ascii="標楷體" w:eastAsia="標楷體" w:hAnsi="標楷體" w:hint="eastAsia"/>
          <w:szCs w:val="24"/>
        </w:rPr>
        <w:t xml:space="preserve"> </w:t>
      </w:r>
      <w:r w:rsidRPr="001E35D8">
        <w:rPr>
          <w:rFonts w:ascii="標楷體" w:eastAsia="標楷體" w:hAnsi="標楷體" w:hint="eastAsia"/>
          <w:szCs w:val="24"/>
        </w:rPr>
        <w:t>泰安鄉</w:t>
      </w:r>
      <w:r w:rsidR="00C95F41">
        <w:rPr>
          <w:rFonts w:ascii="標楷體" w:eastAsia="標楷體" w:hAnsi="標楷體" w:hint="eastAsia"/>
          <w:szCs w:val="24"/>
        </w:rPr>
        <w:t>歷年</w:t>
      </w:r>
      <w:r w:rsidRPr="00B91FC6">
        <w:rPr>
          <w:rFonts w:ascii="標楷體" w:eastAsia="標楷體" w:hAnsi="標楷體" w:hint="eastAsia"/>
          <w:szCs w:val="24"/>
        </w:rPr>
        <w:t>垃圾</w:t>
      </w:r>
      <w:r w:rsidR="00C95F41">
        <w:rPr>
          <w:rFonts w:ascii="標楷體" w:eastAsia="標楷體" w:hAnsi="標楷體" w:hint="eastAsia"/>
          <w:szCs w:val="24"/>
        </w:rPr>
        <w:t>進</w:t>
      </w:r>
      <w:r w:rsidRPr="00B91FC6">
        <w:rPr>
          <w:rFonts w:ascii="標楷體" w:eastAsia="標楷體" w:hAnsi="標楷體" w:hint="eastAsia"/>
          <w:szCs w:val="24"/>
        </w:rPr>
        <w:t>竹南焚化廠</w:t>
      </w:r>
      <w:r>
        <w:rPr>
          <w:rFonts w:ascii="標楷體" w:eastAsia="標楷體" w:hAnsi="標楷體" w:hint="eastAsia"/>
          <w:szCs w:val="24"/>
        </w:rPr>
        <w:t>焚化數量分析圖</w:t>
      </w:r>
    </w:p>
    <w:p w:rsidR="000435C0" w:rsidRPr="000435C0" w:rsidRDefault="000435C0" w:rsidP="000435C0">
      <w:pPr>
        <w:pStyle w:val="a3"/>
        <w:ind w:leftChars="0" w:left="1"/>
        <w:jc w:val="center"/>
        <w:rPr>
          <w:rFonts w:ascii="標楷體" w:eastAsia="標楷體" w:hAnsi="標楷體"/>
          <w:bCs/>
          <w:szCs w:val="24"/>
        </w:rPr>
      </w:pPr>
      <w:r w:rsidRPr="00D02FDB">
        <w:rPr>
          <w:rFonts w:ascii="標楷體" w:eastAsia="標楷體" w:hAnsi="標楷體"/>
          <w:bCs/>
          <w:noProof/>
          <w:color w:val="0000FF"/>
          <w:szCs w:val="24"/>
        </w:rPr>
        <w:drawing>
          <wp:inline distT="0" distB="0" distL="0" distR="0">
            <wp:extent cx="5253742" cy="2802673"/>
            <wp:effectExtent l="19050" t="0" r="23108" b="0"/>
            <wp:docPr id="4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435C0" w:rsidRPr="000435C0" w:rsidSect="005D6076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8C" w:rsidRDefault="0096368C" w:rsidP="00E86D82">
      <w:r>
        <w:separator/>
      </w:r>
    </w:p>
  </w:endnote>
  <w:endnote w:type="continuationSeparator" w:id="0">
    <w:p w:rsidR="0096368C" w:rsidRDefault="0096368C" w:rsidP="00E8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8C" w:rsidRDefault="0096368C" w:rsidP="00E86D82">
      <w:r>
        <w:separator/>
      </w:r>
    </w:p>
  </w:footnote>
  <w:footnote w:type="continuationSeparator" w:id="0">
    <w:p w:rsidR="0096368C" w:rsidRDefault="0096368C" w:rsidP="00E86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603"/>
    <w:multiLevelType w:val="hybridMultilevel"/>
    <w:tmpl w:val="183C0040"/>
    <w:lvl w:ilvl="0" w:tplc="4E5EE6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A96"/>
    <w:rsid w:val="000074DD"/>
    <w:rsid w:val="00014BE8"/>
    <w:rsid w:val="000435C0"/>
    <w:rsid w:val="00055AF0"/>
    <w:rsid w:val="0006283F"/>
    <w:rsid w:val="00066F34"/>
    <w:rsid w:val="00094BC0"/>
    <w:rsid w:val="000B2891"/>
    <w:rsid w:val="000F0E96"/>
    <w:rsid w:val="00113F7C"/>
    <w:rsid w:val="00116B76"/>
    <w:rsid w:val="00141A12"/>
    <w:rsid w:val="001732BB"/>
    <w:rsid w:val="001B27E5"/>
    <w:rsid w:val="001D601D"/>
    <w:rsid w:val="001E35D8"/>
    <w:rsid w:val="001F1A96"/>
    <w:rsid w:val="001F57B2"/>
    <w:rsid w:val="00232198"/>
    <w:rsid w:val="00244A6B"/>
    <w:rsid w:val="0024543B"/>
    <w:rsid w:val="00255089"/>
    <w:rsid w:val="00284A0E"/>
    <w:rsid w:val="00296BC6"/>
    <w:rsid w:val="002C5B23"/>
    <w:rsid w:val="002C6B1F"/>
    <w:rsid w:val="002C7FC6"/>
    <w:rsid w:val="002E737B"/>
    <w:rsid w:val="0033460B"/>
    <w:rsid w:val="00352E8C"/>
    <w:rsid w:val="00363FCD"/>
    <w:rsid w:val="00391AC9"/>
    <w:rsid w:val="003D78CD"/>
    <w:rsid w:val="00412BBD"/>
    <w:rsid w:val="00415C76"/>
    <w:rsid w:val="0042283D"/>
    <w:rsid w:val="00424B93"/>
    <w:rsid w:val="00431111"/>
    <w:rsid w:val="004767B2"/>
    <w:rsid w:val="004856A7"/>
    <w:rsid w:val="00494079"/>
    <w:rsid w:val="00495CEF"/>
    <w:rsid w:val="004B04AD"/>
    <w:rsid w:val="004B603F"/>
    <w:rsid w:val="004E2855"/>
    <w:rsid w:val="004F5BF5"/>
    <w:rsid w:val="00504689"/>
    <w:rsid w:val="0050514D"/>
    <w:rsid w:val="005104AA"/>
    <w:rsid w:val="00530B39"/>
    <w:rsid w:val="00531342"/>
    <w:rsid w:val="00540C27"/>
    <w:rsid w:val="0054146E"/>
    <w:rsid w:val="0056254A"/>
    <w:rsid w:val="005A3552"/>
    <w:rsid w:val="005A528E"/>
    <w:rsid w:val="005D39B7"/>
    <w:rsid w:val="005D6076"/>
    <w:rsid w:val="005E6BF5"/>
    <w:rsid w:val="00605945"/>
    <w:rsid w:val="006208BD"/>
    <w:rsid w:val="00635822"/>
    <w:rsid w:val="00680047"/>
    <w:rsid w:val="006C1128"/>
    <w:rsid w:val="006C2F4B"/>
    <w:rsid w:val="006C3740"/>
    <w:rsid w:val="006D1EF5"/>
    <w:rsid w:val="006D3DD4"/>
    <w:rsid w:val="006D6009"/>
    <w:rsid w:val="006E415C"/>
    <w:rsid w:val="006F61D9"/>
    <w:rsid w:val="0070295F"/>
    <w:rsid w:val="00711588"/>
    <w:rsid w:val="00731918"/>
    <w:rsid w:val="00746A5F"/>
    <w:rsid w:val="007506DB"/>
    <w:rsid w:val="00756B9C"/>
    <w:rsid w:val="007815B1"/>
    <w:rsid w:val="007B5805"/>
    <w:rsid w:val="007B7C23"/>
    <w:rsid w:val="007D1656"/>
    <w:rsid w:val="00823C7F"/>
    <w:rsid w:val="00832556"/>
    <w:rsid w:val="0083363A"/>
    <w:rsid w:val="00887F8A"/>
    <w:rsid w:val="00893000"/>
    <w:rsid w:val="008A61AF"/>
    <w:rsid w:val="008B7665"/>
    <w:rsid w:val="0091028B"/>
    <w:rsid w:val="0092561D"/>
    <w:rsid w:val="00930C6D"/>
    <w:rsid w:val="009332C6"/>
    <w:rsid w:val="0094319B"/>
    <w:rsid w:val="00946C5A"/>
    <w:rsid w:val="009634CE"/>
    <w:rsid w:val="0096368C"/>
    <w:rsid w:val="0097427A"/>
    <w:rsid w:val="00992501"/>
    <w:rsid w:val="00993A1F"/>
    <w:rsid w:val="009A439C"/>
    <w:rsid w:val="009D066A"/>
    <w:rsid w:val="009D1EFD"/>
    <w:rsid w:val="009F22EB"/>
    <w:rsid w:val="00A27FE4"/>
    <w:rsid w:val="00A35EE6"/>
    <w:rsid w:val="00A36B35"/>
    <w:rsid w:val="00A878C4"/>
    <w:rsid w:val="00AA458C"/>
    <w:rsid w:val="00AA6890"/>
    <w:rsid w:val="00AD0A58"/>
    <w:rsid w:val="00AD7A71"/>
    <w:rsid w:val="00AE14CE"/>
    <w:rsid w:val="00B2510E"/>
    <w:rsid w:val="00B56109"/>
    <w:rsid w:val="00B63701"/>
    <w:rsid w:val="00B91FC6"/>
    <w:rsid w:val="00BB2EC8"/>
    <w:rsid w:val="00BE0BA6"/>
    <w:rsid w:val="00BF3BBB"/>
    <w:rsid w:val="00C02450"/>
    <w:rsid w:val="00C0651C"/>
    <w:rsid w:val="00C3262D"/>
    <w:rsid w:val="00C7197E"/>
    <w:rsid w:val="00C745E1"/>
    <w:rsid w:val="00C95F41"/>
    <w:rsid w:val="00CA5F0F"/>
    <w:rsid w:val="00CC6038"/>
    <w:rsid w:val="00CD579A"/>
    <w:rsid w:val="00CF2269"/>
    <w:rsid w:val="00D02FDB"/>
    <w:rsid w:val="00D11CAF"/>
    <w:rsid w:val="00D50EBD"/>
    <w:rsid w:val="00D510C8"/>
    <w:rsid w:val="00D64C12"/>
    <w:rsid w:val="00D6565B"/>
    <w:rsid w:val="00D86A89"/>
    <w:rsid w:val="00DA390A"/>
    <w:rsid w:val="00DB13B4"/>
    <w:rsid w:val="00DB55EE"/>
    <w:rsid w:val="00DC2654"/>
    <w:rsid w:val="00DC48D3"/>
    <w:rsid w:val="00DC5796"/>
    <w:rsid w:val="00E04AB7"/>
    <w:rsid w:val="00E10913"/>
    <w:rsid w:val="00E16AFB"/>
    <w:rsid w:val="00E437CE"/>
    <w:rsid w:val="00E72356"/>
    <w:rsid w:val="00E86D82"/>
    <w:rsid w:val="00EA2451"/>
    <w:rsid w:val="00EE1D39"/>
    <w:rsid w:val="00F26D06"/>
    <w:rsid w:val="00F421D2"/>
    <w:rsid w:val="00F43FE2"/>
    <w:rsid w:val="00F50686"/>
    <w:rsid w:val="00F55FF5"/>
    <w:rsid w:val="00F73CFA"/>
    <w:rsid w:val="00F75C22"/>
    <w:rsid w:val="00FC7709"/>
    <w:rsid w:val="00FE47A9"/>
    <w:rsid w:val="00FE4B47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EF"/>
    <w:pPr>
      <w:ind w:leftChars="200" w:left="480"/>
    </w:pPr>
  </w:style>
  <w:style w:type="table" w:styleId="a4">
    <w:name w:val="Table Grid"/>
    <w:basedOn w:val="a1"/>
    <w:uiPriority w:val="59"/>
    <w:rsid w:val="0099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0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86D8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86D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125.247\Share_Public\@&#20027;&#35336;&#23460;-&#25910;&#25991;&#38468;&#20214;\@&#31777;&#25014;&#21531;\&#32113;&#35336;&#22577;&#34920;&#20316;&#26989;\&#28165;&#28500;&#38538;-&#22403;&#22334;&#28954;&#21270;&#32113;&#35336;&#36039;&#26009;\105-107&#24180;&#22403;&#28165;&#29702;&#29376;&#27841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800" b="1">
                <a:solidFill>
                  <a:schemeClr val="tx2">
                    <a:lumMod val="75000"/>
                  </a:schemeClr>
                </a:solidFill>
                <a:latin typeface="標楷體" pitchFamily="65" charset="-120"/>
                <a:ea typeface="標楷體" pitchFamily="65" charset="-120"/>
              </a:defRPr>
            </a:pPr>
            <a:r>
              <a:rPr lang="zh-TW" altLang="en-US" sz="1800" b="1">
                <a:solidFill>
                  <a:schemeClr val="tx2">
                    <a:lumMod val="75000"/>
                  </a:schemeClr>
                </a:solidFill>
                <a:latin typeface="標楷體" pitchFamily="65" charset="-120"/>
                <a:ea typeface="標楷體" pitchFamily="65" charset="-120"/>
              </a:rPr>
              <a:t>泰安鄉歷年垃圾進竹南焚化廠數量分析圖</a:t>
            </a:r>
          </a:p>
        </c:rich>
      </c:tx>
      <c:layout>
        <c:manualLayout>
          <c:xMode val="edge"/>
          <c:yMode val="edge"/>
          <c:x val="0.12531468046965383"/>
          <c:y val="6.343943799365831E-2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3640745495177886"/>
          <c:y val="0.22065469364888518"/>
          <c:w val="0.67895708819530165"/>
          <c:h val="0.62970352178646449"/>
        </c:manualLayout>
      </c:layout>
      <c:barChart>
        <c:barDir val="bar"/>
        <c:grouping val="clustered"/>
        <c:ser>
          <c:idx val="0"/>
          <c:order val="0"/>
          <c:tx>
            <c:strRef>
              <c:f>總計!$Q$6</c:f>
              <c:strCache>
                <c:ptCount val="1"/>
                <c:pt idx="0">
                  <c:v>數量(公噸)</c:v>
                </c:pt>
              </c:strCache>
            </c:strRef>
          </c:tx>
          <c:dPt>
            <c:idx val="1"/>
            <c:spPr>
              <a:solidFill>
                <a:schemeClr val="accent6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zh-TW"/>
              </a:p>
            </c:txPr>
            <c:showVal val="1"/>
          </c:dLbls>
          <c:cat>
            <c:strRef>
              <c:f>總計!$R$5:$T$5</c:f>
              <c:strCache>
                <c:ptCount val="3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</c:strCache>
            </c:strRef>
          </c:cat>
          <c:val>
            <c:numRef>
              <c:f>總計!$R$6:$T$6</c:f>
              <c:numCache>
                <c:formatCode>#,##0.00;[Red]\-#,##0.00</c:formatCode>
                <c:ptCount val="3"/>
                <c:pt idx="0">
                  <c:v>830.4100000000002</c:v>
                </c:pt>
                <c:pt idx="1">
                  <c:v>889.08</c:v>
                </c:pt>
                <c:pt idx="2">
                  <c:v>889.81999999999948</c:v>
                </c:pt>
              </c:numCache>
            </c:numRef>
          </c:val>
        </c:ser>
        <c:ser>
          <c:idx val="1"/>
          <c:order val="1"/>
          <c:tx>
            <c:strRef>
              <c:f>總計!$Q$7</c:f>
              <c:strCache>
                <c:ptCount val="1"/>
              </c:strCache>
            </c:strRef>
          </c:tx>
          <c:cat>
            <c:strRef>
              <c:f>總計!$R$5:$T$5</c:f>
              <c:strCache>
                <c:ptCount val="3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</c:strCache>
            </c:strRef>
          </c:cat>
          <c:val>
            <c:numRef>
              <c:f>總計!$R$7:$T$7</c:f>
              <c:numCache>
                <c:formatCode>General</c:formatCode>
                <c:ptCount val="3"/>
              </c:numCache>
            </c:numRef>
          </c:val>
        </c:ser>
        <c:axId val="147099008"/>
        <c:axId val="147100800"/>
      </c:barChart>
      <c:catAx>
        <c:axId val="147099008"/>
        <c:scaling>
          <c:orientation val="minMax"/>
        </c:scaling>
        <c:axPos val="l"/>
        <c:numFmt formatCode="@" sourceLinked="0"/>
        <c:maj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</a:defRPr>
            </a:pPr>
            <a:endParaRPr lang="zh-TW"/>
          </a:p>
        </c:txPr>
        <c:crossAx val="147100800"/>
        <c:crosses val="autoZero"/>
        <c:lblAlgn val="ctr"/>
        <c:lblOffset val="100"/>
      </c:catAx>
      <c:valAx>
        <c:axId val="147100800"/>
        <c:scaling>
          <c:orientation val="minMax"/>
          <c:min val="0"/>
        </c:scaling>
        <c:axPos val="b"/>
        <c:majorGridlines/>
        <c:numFmt formatCode="#,##0.00;[Red]\-#,##0.00" sourceLinked="1"/>
        <c:maj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</a:defRPr>
            </a:pPr>
            <a:endParaRPr lang="zh-TW"/>
          </a:p>
        </c:txPr>
        <c:crossAx val="147099008"/>
        <c:crosses val="autoZero"/>
        <c:crossBetween val="between"/>
      </c:valAx>
      <c:spPr>
        <a:solidFill>
          <a:srgbClr val="4F81BD">
            <a:lumMod val="20000"/>
            <a:lumOff val="80000"/>
            <a:alpha val="52000"/>
          </a:srgbClr>
        </a:solidFill>
        <a:ln cmpd="dbl">
          <a:solidFill>
            <a:schemeClr val="accent1"/>
          </a:solidFill>
        </a:ln>
      </c:spPr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</a:defRPr>
            </a:pPr>
            <a:endParaRPr lang="zh-TW"/>
          </a:p>
        </c:txPr>
      </c:legendEntry>
      <c:layout>
        <c:manualLayout>
          <c:xMode val="edge"/>
          <c:yMode val="edge"/>
          <c:x val="0.83309705729744665"/>
          <c:y val="0.45993592545402195"/>
          <c:w val="0.15239899484976646"/>
          <c:h val="8.1940704463203493E-2"/>
        </c:manualLayout>
      </c:layout>
    </c:legend>
    <c:plotVisOnly val="1"/>
  </c:chart>
  <c:spPr>
    <a:blipFill dpi="0" rotWithShape="1">
      <a:blip xmlns:r="http://schemas.openxmlformats.org/officeDocument/2006/relationships" r:embed="rId1">
        <a:alphaModFix amt="72000"/>
      </a:blip>
      <a:srcRect/>
      <a:stretch>
        <a:fillRect l="-13000" t="-7000"/>
      </a:stretch>
    </a:blipFill>
  </c:spPr>
  <c:externalData r:id="rId2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2019-07-03T06:13:00Z</cp:lastPrinted>
  <dcterms:created xsi:type="dcterms:W3CDTF">2019-07-03T05:10:00Z</dcterms:created>
  <dcterms:modified xsi:type="dcterms:W3CDTF">2019-07-08T07:41:00Z</dcterms:modified>
</cp:coreProperties>
</file>